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DA" w:rsidRPr="009F466A" w:rsidRDefault="00904FDA" w:rsidP="00C743FC">
      <w:pPr>
        <w:spacing w:before="4080" w:after="240" w:line="240" w:lineRule="auto"/>
        <w:ind w:right="849"/>
        <w:jc w:val="center"/>
        <w:rPr>
          <w:b/>
          <w:sz w:val="52"/>
          <w:szCs w:val="52"/>
        </w:rPr>
      </w:pPr>
      <w:r w:rsidRPr="009F466A">
        <w:rPr>
          <w:b/>
          <w:sz w:val="52"/>
          <w:szCs w:val="52"/>
        </w:rPr>
        <w:t>Pharmaceutical Benefits Scheme</w:t>
      </w:r>
    </w:p>
    <w:p w:rsidR="00904FDA" w:rsidRPr="009F466A" w:rsidRDefault="00904FDA" w:rsidP="001658D7">
      <w:pPr>
        <w:spacing w:before="480" w:after="240" w:line="240" w:lineRule="auto"/>
        <w:jc w:val="center"/>
        <w:rPr>
          <w:b/>
          <w:sz w:val="40"/>
          <w:szCs w:val="40"/>
        </w:rPr>
      </w:pPr>
      <w:r w:rsidRPr="009F466A">
        <w:rPr>
          <w:b/>
          <w:sz w:val="40"/>
          <w:szCs w:val="40"/>
        </w:rPr>
        <w:t>Post-market Review</w:t>
      </w:r>
    </w:p>
    <w:p w:rsidR="00487624" w:rsidRPr="009F466A" w:rsidRDefault="00200248" w:rsidP="001658D7">
      <w:pPr>
        <w:spacing w:before="240" w:line="240" w:lineRule="auto"/>
        <w:jc w:val="center"/>
        <w:rPr>
          <w:b/>
          <w:color w:val="365F91" w:themeColor="accent1" w:themeShade="BF"/>
          <w:sz w:val="32"/>
          <w:szCs w:val="32"/>
        </w:rPr>
      </w:pPr>
      <w:r w:rsidRPr="009F466A">
        <w:rPr>
          <w:b/>
          <w:color w:val="365F91" w:themeColor="accent1" w:themeShade="BF"/>
          <w:sz w:val="32"/>
          <w:szCs w:val="32"/>
        </w:rPr>
        <w:t>Post-market Review of Medicines to treat Pulmonary Arterial Hypertension</w:t>
      </w:r>
    </w:p>
    <w:p w:rsidR="00487624" w:rsidRPr="009F466A" w:rsidRDefault="00487624" w:rsidP="001658D7">
      <w:pPr>
        <w:spacing w:before="240" w:line="240" w:lineRule="auto"/>
        <w:jc w:val="center"/>
        <w:rPr>
          <w:b/>
          <w:i/>
          <w:color w:val="365F91" w:themeColor="accent1" w:themeShade="BF"/>
          <w:sz w:val="32"/>
          <w:szCs w:val="32"/>
        </w:rPr>
      </w:pPr>
      <w:r w:rsidRPr="009F466A">
        <w:rPr>
          <w:b/>
          <w:i/>
          <w:color w:val="365F91" w:themeColor="accent1" w:themeShade="BF"/>
          <w:sz w:val="32"/>
          <w:szCs w:val="32"/>
        </w:rPr>
        <w:t>Report to PBAC</w:t>
      </w:r>
    </w:p>
    <w:p w:rsidR="00904FDA" w:rsidRPr="009F466A" w:rsidRDefault="00734FA1" w:rsidP="001658D7">
      <w:pPr>
        <w:spacing w:before="240" w:line="240" w:lineRule="auto"/>
        <w:jc w:val="center"/>
        <w:rPr>
          <w:b/>
          <w:i/>
          <w:color w:val="365F91" w:themeColor="accent1" w:themeShade="BF"/>
          <w:sz w:val="32"/>
          <w:szCs w:val="32"/>
        </w:rPr>
      </w:pPr>
      <w:r w:rsidRPr="009F466A">
        <w:rPr>
          <w:b/>
          <w:i/>
          <w:color w:val="365F91" w:themeColor="accent1" w:themeShade="BF"/>
          <w:sz w:val="32"/>
          <w:szCs w:val="32"/>
        </w:rPr>
        <w:t>Executive Summary</w:t>
      </w:r>
    </w:p>
    <w:p w:rsidR="00AA5636" w:rsidRDefault="00AA5636" w:rsidP="001658D7">
      <w:pPr>
        <w:spacing w:before="240" w:line="240" w:lineRule="auto"/>
        <w:jc w:val="center"/>
        <w:rPr>
          <w:b/>
          <w:i/>
          <w:color w:val="365F91" w:themeColor="accent1" w:themeShade="BF"/>
          <w:sz w:val="28"/>
          <w:szCs w:val="28"/>
        </w:rPr>
      </w:pPr>
    </w:p>
    <w:p w:rsidR="00904FDA" w:rsidRPr="009F466A" w:rsidRDefault="00AA5636" w:rsidP="001658D7">
      <w:pPr>
        <w:spacing w:before="240" w:line="240" w:lineRule="auto"/>
        <w:jc w:val="center"/>
        <w:rPr>
          <w:b/>
          <w:i/>
          <w:color w:val="365F91" w:themeColor="accent1" w:themeShade="BF"/>
          <w:sz w:val="28"/>
          <w:szCs w:val="28"/>
        </w:rPr>
      </w:pPr>
      <w:r>
        <w:rPr>
          <w:b/>
          <w:i/>
          <w:color w:val="365F91" w:themeColor="accent1" w:themeShade="BF"/>
          <w:sz w:val="28"/>
          <w:szCs w:val="28"/>
        </w:rPr>
        <w:t>Draft Report</w:t>
      </w:r>
    </w:p>
    <w:p w:rsidR="00734FA1" w:rsidRPr="009F466A" w:rsidRDefault="00F356E9" w:rsidP="001658D7">
      <w:pPr>
        <w:spacing w:before="240" w:line="240" w:lineRule="auto"/>
        <w:jc w:val="center"/>
        <w:rPr>
          <w:b/>
          <w:color w:val="365F91" w:themeColor="accent1" w:themeShade="BF"/>
          <w:sz w:val="28"/>
          <w:szCs w:val="28"/>
        </w:rPr>
      </w:pPr>
      <w:r>
        <w:rPr>
          <w:b/>
          <w:color w:val="365F91" w:themeColor="accent1" w:themeShade="BF"/>
          <w:sz w:val="28"/>
          <w:szCs w:val="28"/>
        </w:rPr>
        <w:t>May</w:t>
      </w:r>
      <w:r w:rsidRPr="009F466A">
        <w:rPr>
          <w:b/>
          <w:color w:val="365F91" w:themeColor="accent1" w:themeShade="BF"/>
          <w:sz w:val="28"/>
          <w:szCs w:val="28"/>
        </w:rPr>
        <w:t xml:space="preserve"> </w:t>
      </w:r>
      <w:r w:rsidR="00734FA1" w:rsidRPr="009F466A">
        <w:rPr>
          <w:b/>
          <w:color w:val="365F91" w:themeColor="accent1" w:themeShade="BF"/>
          <w:sz w:val="28"/>
          <w:szCs w:val="28"/>
        </w:rPr>
        <w:t>2018</w:t>
      </w:r>
    </w:p>
    <w:p w:rsidR="00904FDA" w:rsidRPr="009F466A" w:rsidRDefault="00904FDA" w:rsidP="00C21496">
      <w:pPr>
        <w:jc w:val="left"/>
        <w:rPr>
          <w:b/>
          <w:bCs/>
        </w:rPr>
      </w:pPr>
      <w:r w:rsidRPr="009F466A">
        <w:br w:type="page"/>
      </w:r>
    </w:p>
    <w:p w:rsidR="00904FDA" w:rsidRPr="009F466A" w:rsidRDefault="00734FA1" w:rsidP="00C21496">
      <w:pPr>
        <w:spacing w:before="480" w:after="240" w:line="240" w:lineRule="auto"/>
        <w:jc w:val="left"/>
        <w:rPr>
          <w:sz w:val="40"/>
          <w:szCs w:val="40"/>
        </w:rPr>
      </w:pPr>
      <w:r w:rsidRPr="009F466A">
        <w:rPr>
          <w:b/>
          <w:color w:val="365F91" w:themeColor="accent1" w:themeShade="BF"/>
          <w:sz w:val="40"/>
          <w:szCs w:val="40"/>
        </w:rPr>
        <w:lastRenderedPageBreak/>
        <w:t xml:space="preserve">Executive Summary </w:t>
      </w:r>
    </w:p>
    <w:sdt>
      <w:sdtPr>
        <w:rPr>
          <w:rFonts w:eastAsiaTheme="minorHAnsi" w:cstheme="minorBidi"/>
          <w:b w:val="0"/>
          <w:bCs w:val="0"/>
          <w:color w:val="auto"/>
          <w:sz w:val="24"/>
          <w:szCs w:val="22"/>
          <w:lang w:val="en-AU" w:eastAsia="en-AU"/>
        </w:rPr>
        <w:id w:val="-1772772657"/>
        <w:docPartObj>
          <w:docPartGallery w:val="Table of Contents"/>
          <w:docPartUnique/>
        </w:docPartObj>
      </w:sdtPr>
      <w:sdtEndPr>
        <w:rPr>
          <w:noProof/>
        </w:rPr>
      </w:sdtEndPr>
      <w:sdtContent>
        <w:p w:rsidR="00101F92" w:rsidRPr="009F466A" w:rsidRDefault="00101F92" w:rsidP="00C21496">
          <w:pPr>
            <w:pStyle w:val="TOCHeading"/>
            <w:jc w:val="left"/>
          </w:pPr>
          <w:r w:rsidRPr="009F466A">
            <w:t>Contents</w:t>
          </w:r>
        </w:p>
        <w:p w:rsidR="00A44348" w:rsidRDefault="00A44348">
          <w:pPr>
            <w:pStyle w:val="TOC1"/>
            <w:tabs>
              <w:tab w:val="right" w:leader="dot" w:pos="9628"/>
            </w:tabs>
            <w:rPr>
              <w:rFonts w:eastAsiaTheme="minorEastAsia"/>
              <w:noProof/>
              <w:sz w:val="22"/>
            </w:rPr>
          </w:pPr>
          <w:r w:rsidRPr="00A765F3">
            <w:rPr>
              <w:noProof/>
            </w:rPr>
            <w:t>List of Tables</w:t>
          </w:r>
          <w:r>
            <w:rPr>
              <w:noProof/>
              <w:webHidden/>
            </w:rPr>
            <w:tab/>
            <w:t>3</w:t>
          </w:r>
        </w:p>
        <w:p w:rsidR="00A44348" w:rsidRDefault="00A44348">
          <w:pPr>
            <w:pStyle w:val="TOC1"/>
            <w:tabs>
              <w:tab w:val="right" w:leader="dot" w:pos="9628"/>
            </w:tabs>
            <w:rPr>
              <w:rFonts w:eastAsiaTheme="minorEastAsia"/>
              <w:noProof/>
              <w:sz w:val="22"/>
            </w:rPr>
          </w:pPr>
          <w:r w:rsidRPr="00A765F3">
            <w:rPr>
              <w:noProof/>
            </w:rPr>
            <w:t>List of Figures</w:t>
          </w:r>
          <w:r>
            <w:rPr>
              <w:noProof/>
              <w:webHidden/>
            </w:rPr>
            <w:tab/>
            <w:t>4</w:t>
          </w:r>
        </w:p>
        <w:p w:rsidR="00A44348" w:rsidRDefault="00A44348">
          <w:pPr>
            <w:pStyle w:val="TOC1"/>
            <w:tabs>
              <w:tab w:val="right" w:leader="dot" w:pos="9628"/>
            </w:tabs>
            <w:rPr>
              <w:rFonts w:eastAsiaTheme="minorEastAsia"/>
              <w:noProof/>
              <w:sz w:val="22"/>
            </w:rPr>
          </w:pPr>
          <w:r w:rsidRPr="00A765F3">
            <w:rPr>
              <w:noProof/>
            </w:rPr>
            <w:t>Abbreviations</w:t>
          </w:r>
          <w:r>
            <w:rPr>
              <w:noProof/>
              <w:webHidden/>
            </w:rPr>
            <w:tab/>
            <w:t>5</w:t>
          </w:r>
        </w:p>
        <w:p w:rsidR="00A44348" w:rsidRDefault="00A44348">
          <w:pPr>
            <w:pStyle w:val="TOC1"/>
            <w:tabs>
              <w:tab w:val="right" w:leader="dot" w:pos="9628"/>
            </w:tabs>
            <w:rPr>
              <w:rFonts w:eastAsiaTheme="minorEastAsia"/>
              <w:noProof/>
              <w:sz w:val="22"/>
            </w:rPr>
          </w:pPr>
          <w:r w:rsidRPr="00A765F3">
            <w:rPr>
              <w:noProof/>
            </w:rPr>
            <w:t>Executive Summary</w:t>
          </w:r>
          <w:r>
            <w:rPr>
              <w:noProof/>
              <w:webHidden/>
            </w:rPr>
            <w:tab/>
            <w:t>8</w:t>
          </w:r>
        </w:p>
        <w:p w:rsidR="00A44348" w:rsidRDefault="00A44348">
          <w:pPr>
            <w:pStyle w:val="TOC2"/>
            <w:tabs>
              <w:tab w:val="right" w:leader="dot" w:pos="9628"/>
            </w:tabs>
            <w:rPr>
              <w:rFonts w:eastAsiaTheme="minorEastAsia"/>
              <w:noProof/>
              <w:sz w:val="22"/>
            </w:rPr>
          </w:pPr>
          <w:r w:rsidRPr="00A765F3">
            <w:rPr>
              <w:noProof/>
            </w:rPr>
            <w:t>Background and context</w:t>
          </w:r>
          <w:r>
            <w:rPr>
              <w:noProof/>
              <w:webHidden/>
            </w:rPr>
            <w:tab/>
            <w:t>8</w:t>
          </w:r>
        </w:p>
        <w:p w:rsidR="00A44348" w:rsidRDefault="00A44348">
          <w:pPr>
            <w:pStyle w:val="TOC3"/>
            <w:tabs>
              <w:tab w:val="right" w:leader="dot" w:pos="9628"/>
            </w:tabs>
            <w:rPr>
              <w:rFonts w:eastAsiaTheme="minorEastAsia"/>
              <w:noProof/>
              <w:sz w:val="22"/>
            </w:rPr>
          </w:pPr>
          <w:r w:rsidRPr="00A765F3">
            <w:rPr>
              <w:noProof/>
            </w:rPr>
            <w:t>Review Terms of Reference</w:t>
          </w:r>
          <w:r>
            <w:rPr>
              <w:noProof/>
              <w:webHidden/>
            </w:rPr>
            <w:tab/>
            <w:t>12</w:t>
          </w:r>
        </w:p>
        <w:p w:rsidR="00A44348" w:rsidRDefault="00A44348">
          <w:pPr>
            <w:pStyle w:val="TOC3"/>
            <w:tabs>
              <w:tab w:val="right" w:leader="dot" w:pos="9628"/>
            </w:tabs>
            <w:rPr>
              <w:rFonts w:eastAsiaTheme="minorEastAsia"/>
              <w:noProof/>
              <w:sz w:val="22"/>
            </w:rPr>
          </w:pPr>
          <w:r w:rsidRPr="00A765F3">
            <w:rPr>
              <w:noProof/>
            </w:rPr>
            <w:t>Methodological approach to the technical report</w:t>
          </w:r>
          <w:r>
            <w:rPr>
              <w:noProof/>
              <w:webHidden/>
            </w:rPr>
            <w:tab/>
            <w:t>12</w:t>
          </w:r>
        </w:p>
        <w:p w:rsidR="00A44348" w:rsidRDefault="00A44348">
          <w:pPr>
            <w:pStyle w:val="TOC3"/>
            <w:tabs>
              <w:tab w:val="right" w:leader="dot" w:pos="9628"/>
            </w:tabs>
            <w:rPr>
              <w:rFonts w:eastAsiaTheme="minorEastAsia"/>
              <w:noProof/>
              <w:sz w:val="22"/>
            </w:rPr>
          </w:pPr>
          <w:r w:rsidRPr="00A765F3">
            <w:rPr>
              <w:noProof/>
            </w:rPr>
            <w:t>Stakeholder consultation</w:t>
          </w:r>
          <w:r>
            <w:rPr>
              <w:noProof/>
              <w:webHidden/>
            </w:rPr>
            <w:tab/>
            <w:t>14</w:t>
          </w:r>
        </w:p>
        <w:p w:rsidR="00A44348" w:rsidRDefault="00A44348">
          <w:pPr>
            <w:pStyle w:val="TOC2"/>
            <w:tabs>
              <w:tab w:val="right" w:leader="dot" w:pos="9628"/>
            </w:tabs>
            <w:rPr>
              <w:rFonts w:eastAsiaTheme="minorEastAsia"/>
              <w:noProof/>
              <w:sz w:val="22"/>
            </w:rPr>
          </w:pPr>
          <w:r w:rsidRPr="00A765F3">
            <w:rPr>
              <w:noProof/>
            </w:rPr>
            <w:t>Key findings for ToR 1: Comparison of prescribing restrictions and clinical guidelines</w:t>
          </w:r>
          <w:r>
            <w:rPr>
              <w:noProof/>
              <w:webHidden/>
            </w:rPr>
            <w:tab/>
            <w:t>15</w:t>
          </w:r>
        </w:p>
        <w:p w:rsidR="00A44348" w:rsidRDefault="00A44348">
          <w:pPr>
            <w:pStyle w:val="TOC3"/>
            <w:tabs>
              <w:tab w:val="right" w:leader="dot" w:pos="9628"/>
            </w:tabs>
            <w:rPr>
              <w:rFonts w:eastAsiaTheme="minorEastAsia"/>
              <w:noProof/>
              <w:sz w:val="22"/>
            </w:rPr>
          </w:pPr>
          <w:r w:rsidRPr="00A765F3">
            <w:rPr>
              <w:noProof/>
            </w:rPr>
            <w:t>Key findings – Research Question 1</w:t>
          </w:r>
          <w:r>
            <w:rPr>
              <w:noProof/>
              <w:webHidden/>
            </w:rPr>
            <w:tab/>
            <w:t>15</w:t>
          </w:r>
        </w:p>
        <w:p w:rsidR="00A44348" w:rsidRDefault="00A44348">
          <w:pPr>
            <w:pStyle w:val="TOC3"/>
            <w:tabs>
              <w:tab w:val="right" w:leader="dot" w:pos="9628"/>
            </w:tabs>
            <w:rPr>
              <w:rFonts w:eastAsiaTheme="minorEastAsia"/>
              <w:noProof/>
              <w:sz w:val="22"/>
            </w:rPr>
          </w:pPr>
          <w:r w:rsidRPr="00A765F3">
            <w:rPr>
              <w:noProof/>
            </w:rPr>
            <w:t>Key findings – Research Question 2</w:t>
          </w:r>
          <w:r>
            <w:rPr>
              <w:noProof/>
              <w:webHidden/>
            </w:rPr>
            <w:tab/>
            <w:t>15</w:t>
          </w:r>
        </w:p>
        <w:p w:rsidR="00A44348" w:rsidRDefault="00A44348">
          <w:pPr>
            <w:pStyle w:val="TOC3"/>
            <w:tabs>
              <w:tab w:val="right" w:leader="dot" w:pos="9628"/>
            </w:tabs>
            <w:rPr>
              <w:rFonts w:eastAsiaTheme="minorEastAsia"/>
              <w:noProof/>
              <w:sz w:val="22"/>
            </w:rPr>
          </w:pPr>
          <w:r w:rsidRPr="00A765F3">
            <w:rPr>
              <w:noProof/>
            </w:rPr>
            <w:t>Key findings – Research Question 3</w:t>
          </w:r>
          <w:r>
            <w:rPr>
              <w:noProof/>
              <w:webHidden/>
            </w:rPr>
            <w:tab/>
            <w:t>17</w:t>
          </w:r>
        </w:p>
        <w:p w:rsidR="00A44348" w:rsidRDefault="00A44348">
          <w:pPr>
            <w:pStyle w:val="TOC3"/>
            <w:tabs>
              <w:tab w:val="right" w:leader="dot" w:pos="9628"/>
            </w:tabs>
            <w:rPr>
              <w:rFonts w:eastAsiaTheme="minorEastAsia"/>
              <w:noProof/>
              <w:sz w:val="22"/>
            </w:rPr>
          </w:pPr>
          <w:r w:rsidRPr="00A765F3">
            <w:rPr>
              <w:noProof/>
            </w:rPr>
            <w:t>Stakeholder Views</w:t>
          </w:r>
          <w:r>
            <w:rPr>
              <w:noProof/>
              <w:webHidden/>
            </w:rPr>
            <w:tab/>
            <w:t>21</w:t>
          </w:r>
        </w:p>
        <w:p w:rsidR="00A44348" w:rsidRDefault="00A44348">
          <w:pPr>
            <w:pStyle w:val="TOC3"/>
            <w:tabs>
              <w:tab w:val="right" w:leader="dot" w:pos="9628"/>
            </w:tabs>
            <w:rPr>
              <w:rFonts w:eastAsiaTheme="minorEastAsia"/>
              <w:noProof/>
              <w:sz w:val="22"/>
            </w:rPr>
          </w:pPr>
          <w:r w:rsidRPr="00A765F3">
            <w:rPr>
              <w:noProof/>
            </w:rPr>
            <w:t>Consumer Views</w:t>
          </w:r>
          <w:r>
            <w:rPr>
              <w:noProof/>
              <w:webHidden/>
            </w:rPr>
            <w:tab/>
            <w:t>21</w:t>
          </w:r>
        </w:p>
        <w:p w:rsidR="00A44348" w:rsidRDefault="00A44348">
          <w:pPr>
            <w:pStyle w:val="TOC2"/>
            <w:tabs>
              <w:tab w:val="right" w:leader="dot" w:pos="9628"/>
            </w:tabs>
            <w:rPr>
              <w:rFonts w:eastAsiaTheme="minorEastAsia"/>
              <w:noProof/>
              <w:sz w:val="22"/>
            </w:rPr>
          </w:pPr>
          <w:r w:rsidRPr="00A765F3">
            <w:rPr>
              <w:noProof/>
            </w:rPr>
            <w:t>Key findings for ToR 2: Utilisation of PAH medicines</w:t>
          </w:r>
          <w:r>
            <w:rPr>
              <w:noProof/>
              <w:webHidden/>
            </w:rPr>
            <w:tab/>
            <w:t>22</w:t>
          </w:r>
        </w:p>
        <w:p w:rsidR="00A44348" w:rsidRDefault="00A44348">
          <w:pPr>
            <w:pStyle w:val="TOC3"/>
            <w:tabs>
              <w:tab w:val="right" w:leader="dot" w:pos="9628"/>
            </w:tabs>
            <w:rPr>
              <w:rFonts w:eastAsiaTheme="minorEastAsia"/>
              <w:noProof/>
              <w:sz w:val="22"/>
            </w:rPr>
          </w:pPr>
          <w:r w:rsidRPr="00A765F3">
            <w:rPr>
              <w:noProof/>
            </w:rPr>
            <w:t>PBS/RPBS Claims Data</w:t>
          </w:r>
          <w:r>
            <w:rPr>
              <w:noProof/>
              <w:webHidden/>
            </w:rPr>
            <w:tab/>
            <w:t>22</w:t>
          </w:r>
        </w:p>
        <w:p w:rsidR="00A44348" w:rsidRDefault="00A44348">
          <w:pPr>
            <w:pStyle w:val="TOC3"/>
            <w:tabs>
              <w:tab w:val="right" w:leader="dot" w:pos="9628"/>
            </w:tabs>
            <w:rPr>
              <w:rFonts w:eastAsiaTheme="minorEastAsia"/>
              <w:noProof/>
              <w:sz w:val="22"/>
            </w:rPr>
          </w:pPr>
          <w:r w:rsidRPr="00A765F3">
            <w:rPr>
              <w:noProof/>
            </w:rPr>
            <w:t>Pulmonary Hypertension Society of Australia and New Zealand (PHSANZ) Registry</w:t>
          </w:r>
          <w:r>
            <w:rPr>
              <w:noProof/>
              <w:webHidden/>
            </w:rPr>
            <w:tab/>
            <w:t>23</w:t>
          </w:r>
        </w:p>
        <w:p w:rsidR="00A44348" w:rsidRDefault="00A44348">
          <w:pPr>
            <w:pStyle w:val="TOC3"/>
            <w:tabs>
              <w:tab w:val="right" w:leader="dot" w:pos="9628"/>
            </w:tabs>
            <w:rPr>
              <w:rFonts w:eastAsiaTheme="minorEastAsia"/>
              <w:noProof/>
              <w:sz w:val="22"/>
            </w:rPr>
          </w:pPr>
          <w:r w:rsidRPr="00A765F3">
            <w:rPr>
              <w:noProof/>
            </w:rPr>
            <w:t>Australian Scleroderma Interest Group Registry (ASIG)</w:t>
          </w:r>
          <w:r>
            <w:rPr>
              <w:noProof/>
              <w:webHidden/>
            </w:rPr>
            <w:tab/>
            <w:t>23</w:t>
          </w:r>
        </w:p>
        <w:p w:rsidR="00A44348" w:rsidRDefault="00A44348">
          <w:pPr>
            <w:pStyle w:val="TOC3"/>
            <w:tabs>
              <w:tab w:val="right" w:leader="dot" w:pos="9628"/>
            </w:tabs>
            <w:rPr>
              <w:rFonts w:eastAsiaTheme="minorEastAsia"/>
              <w:noProof/>
              <w:sz w:val="22"/>
            </w:rPr>
          </w:pPr>
          <w:r w:rsidRPr="00A765F3">
            <w:rPr>
              <w:noProof/>
            </w:rPr>
            <w:t>Overall conclusions</w:t>
          </w:r>
          <w:r>
            <w:rPr>
              <w:noProof/>
              <w:webHidden/>
            </w:rPr>
            <w:tab/>
            <w:t>23</w:t>
          </w:r>
        </w:p>
        <w:p w:rsidR="00A44348" w:rsidRDefault="00A44348">
          <w:pPr>
            <w:pStyle w:val="TOC3"/>
            <w:tabs>
              <w:tab w:val="right" w:leader="dot" w:pos="9628"/>
            </w:tabs>
            <w:rPr>
              <w:rFonts w:eastAsiaTheme="minorEastAsia"/>
              <w:noProof/>
              <w:sz w:val="22"/>
            </w:rPr>
          </w:pPr>
          <w:r w:rsidRPr="00A765F3">
            <w:rPr>
              <w:rFonts w:eastAsia="Times New Roman"/>
              <w:noProof/>
            </w:rPr>
            <w:t>Stakeholder views</w:t>
          </w:r>
          <w:r>
            <w:rPr>
              <w:noProof/>
              <w:webHidden/>
            </w:rPr>
            <w:tab/>
            <w:t>24</w:t>
          </w:r>
        </w:p>
        <w:p w:rsidR="00A44348" w:rsidRDefault="00A44348">
          <w:pPr>
            <w:pStyle w:val="TOC3"/>
            <w:tabs>
              <w:tab w:val="right" w:leader="dot" w:pos="9628"/>
            </w:tabs>
            <w:rPr>
              <w:rFonts w:eastAsiaTheme="minorEastAsia"/>
              <w:noProof/>
              <w:sz w:val="22"/>
            </w:rPr>
          </w:pPr>
          <w:r w:rsidRPr="00A765F3">
            <w:rPr>
              <w:rFonts w:eastAsia="Times New Roman"/>
              <w:noProof/>
            </w:rPr>
            <w:t>Consumer views</w:t>
          </w:r>
          <w:r>
            <w:rPr>
              <w:noProof/>
              <w:webHidden/>
            </w:rPr>
            <w:tab/>
            <w:t>24</w:t>
          </w:r>
        </w:p>
        <w:p w:rsidR="00A44348" w:rsidRDefault="00A44348">
          <w:pPr>
            <w:pStyle w:val="TOC2"/>
            <w:tabs>
              <w:tab w:val="right" w:leader="dot" w:pos="9628"/>
            </w:tabs>
            <w:rPr>
              <w:rFonts w:eastAsiaTheme="minorEastAsia"/>
              <w:noProof/>
              <w:sz w:val="22"/>
            </w:rPr>
          </w:pPr>
          <w:r w:rsidRPr="00A765F3">
            <w:rPr>
              <w:noProof/>
            </w:rPr>
            <w:t>Key findings for ToR 3: Clinical outcomes relevant to patients and evidence considered by PBAC</w:t>
          </w:r>
          <w:r>
            <w:rPr>
              <w:noProof/>
              <w:webHidden/>
            </w:rPr>
            <w:tab/>
            <w:t>24</w:t>
          </w:r>
        </w:p>
        <w:p w:rsidR="00A44348" w:rsidRDefault="00A44348">
          <w:pPr>
            <w:pStyle w:val="TOC3"/>
            <w:tabs>
              <w:tab w:val="right" w:leader="dot" w:pos="9628"/>
            </w:tabs>
            <w:rPr>
              <w:rFonts w:eastAsiaTheme="minorEastAsia"/>
              <w:noProof/>
              <w:sz w:val="22"/>
            </w:rPr>
          </w:pPr>
          <w:r w:rsidRPr="00A765F3">
            <w:rPr>
              <w:noProof/>
            </w:rPr>
            <w:t>Stakeholder views</w:t>
          </w:r>
          <w:r>
            <w:rPr>
              <w:noProof/>
              <w:webHidden/>
            </w:rPr>
            <w:tab/>
            <w:t>25</w:t>
          </w:r>
        </w:p>
        <w:p w:rsidR="00A44348" w:rsidRDefault="00A44348">
          <w:pPr>
            <w:pStyle w:val="TOC2"/>
            <w:tabs>
              <w:tab w:val="right" w:leader="dot" w:pos="9628"/>
            </w:tabs>
            <w:rPr>
              <w:rFonts w:eastAsiaTheme="minorEastAsia"/>
              <w:noProof/>
              <w:sz w:val="22"/>
            </w:rPr>
          </w:pPr>
          <w:r w:rsidRPr="00A765F3">
            <w:rPr>
              <w:noProof/>
            </w:rPr>
            <w:t>Key findings for ToR 4: Review of effectiveness and safety</w:t>
          </w:r>
          <w:r>
            <w:rPr>
              <w:noProof/>
              <w:webHidden/>
            </w:rPr>
            <w:tab/>
            <w:t>26</w:t>
          </w:r>
        </w:p>
        <w:p w:rsidR="00A44348" w:rsidRDefault="00A44348">
          <w:pPr>
            <w:pStyle w:val="TOC3"/>
            <w:tabs>
              <w:tab w:val="right" w:leader="dot" w:pos="9628"/>
            </w:tabs>
            <w:rPr>
              <w:rFonts w:eastAsiaTheme="minorEastAsia"/>
              <w:noProof/>
              <w:sz w:val="22"/>
            </w:rPr>
          </w:pPr>
          <w:r w:rsidRPr="00A765F3">
            <w:rPr>
              <w:noProof/>
            </w:rPr>
            <w:t>Effectiveness and safety of monotherapy in WHO FC I or II PAH</w:t>
          </w:r>
          <w:r>
            <w:rPr>
              <w:noProof/>
              <w:webHidden/>
            </w:rPr>
            <w:tab/>
            <w:t>26</w:t>
          </w:r>
        </w:p>
        <w:p w:rsidR="00A44348" w:rsidRDefault="00A44348">
          <w:pPr>
            <w:pStyle w:val="TOC3"/>
            <w:tabs>
              <w:tab w:val="right" w:leader="dot" w:pos="9628"/>
            </w:tabs>
            <w:rPr>
              <w:rFonts w:eastAsiaTheme="minorEastAsia"/>
              <w:noProof/>
              <w:sz w:val="22"/>
            </w:rPr>
          </w:pPr>
          <w:r w:rsidRPr="00A765F3">
            <w:rPr>
              <w:noProof/>
            </w:rPr>
            <w:t>Evidence of effectiveness and safety of monotherapy in WHO FC III or IV PAH not previously considered by the PBAC</w:t>
          </w:r>
          <w:r>
            <w:rPr>
              <w:noProof/>
              <w:webHidden/>
            </w:rPr>
            <w:tab/>
            <w:t>30</w:t>
          </w:r>
        </w:p>
        <w:p w:rsidR="00A44348" w:rsidRDefault="00A44348">
          <w:pPr>
            <w:pStyle w:val="TOC3"/>
            <w:tabs>
              <w:tab w:val="right" w:leader="dot" w:pos="9628"/>
            </w:tabs>
            <w:rPr>
              <w:rFonts w:eastAsiaTheme="minorEastAsia"/>
              <w:noProof/>
              <w:sz w:val="22"/>
            </w:rPr>
          </w:pPr>
          <w:r w:rsidRPr="00A765F3">
            <w:rPr>
              <w:noProof/>
            </w:rPr>
            <w:t>Effectiveness and safety of dual combination therapy</w:t>
          </w:r>
          <w:r>
            <w:rPr>
              <w:noProof/>
              <w:webHidden/>
            </w:rPr>
            <w:tab/>
            <w:t>34</w:t>
          </w:r>
        </w:p>
        <w:p w:rsidR="00A44348" w:rsidRDefault="00A44348">
          <w:pPr>
            <w:pStyle w:val="TOC3"/>
            <w:tabs>
              <w:tab w:val="right" w:leader="dot" w:pos="9628"/>
            </w:tabs>
            <w:rPr>
              <w:rFonts w:eastAsiaTheme="minorEastAsia"/>
              <w:noProof/>
              <w:sz w:val="22"/>
            </w:rPr>
          </w:pPr>
          <w:r w:rsidRPr="00A765F3">
            <w:rPr>
              <w:noProof/>
            </w:rPr>
            <w:t>Effectiveness and safety of triple combination therapy</w:t>
          </w:r>
          <w:r>
            <w:rPr>
              <w:noProof/>
              <w:webHidden/>
            </w:rPr>
            <w:tab/>
            <w:t>54</w:t>
          </w:r>
        </w:p>
        <w:p w:rsidR="00A44348" w:rsidRDefault="00A44348">
          <w:pPr>
            <w:pStyle w:val="TOC3"/>
            <w:tabs>
              <w:tab w:val="right" w:leader="dot" w:pos="9628"/>
            </w:tabs>
            <w:rPr>
              <w:rFonts w:eastAsiaTheme="minorEastAsia"/>
              <w:noProof/>
              <w:sz w:val="22"/>
            </w:rPr>
          </w:pPr>
          <w:r w:rsidRPr="00A765F3">
            <w:rPr>
              <w:noProof/>
            </w:rPr>
            <w:lastRenderedPageBreak/>
            <w:t>Extended safety assessment</w:t>
          </w:r>
          <w:r>
            <w:rPr>
              <w:noProof/>
              <w:webHidden/>
            </w:rPr>
            <w:tab/>
            <w:t>54</w:t>
          </w:r>
        </w:p>
        <w:p w:rsidR="00A44348" w:rsidRDefault="00A44348">
          <w:pPr>
            <w:pStyle w:val="TOC3"/>
            <w:tabs>
              <w:tab w:val="right" w:leader="dot" w:pos="9628"/>
            </w:tabs>
            <w:rPr>
              <w:rFonts w:eastAsiaTheme="minorEastAsia"/>
              <w:noProof/>
              <w:sz w:val="22"/>
            </w:rPr>
          </w:pPr>
          <w:r w:rsidRPr="00A765F3">
            <w:rPr>
              <w:noProof/>
            </w:rPr>
            <w:t>Stakeholder views</w:t>
          </w:r>
          <w:r>
            <w:rPr>
              <w:noProof/>
              <w:webHidden/>
            </w:rPr>
            <w:tab/>
            <w:t>55</w:t>
          </w:r>
        </w:p>
        <w:p w:rsidR="00A44348" w:rsidRDefault="00A44348">
          <w:pPr>
            <w:pStyle w:val="TOC3"/>
            <w:tabs>
              <w:tab w:val="right" w:leader="dot" w:pos="9628"/>
            </w:tabs>
            <w:rPr>
              <w:rFonts w:eastAsiaTheme="minorEastAsia"/>
              <w:noProof/>
              <w:sz w:val="22"/>
            </w:rPr>
          </w:pPr>
          <w:r w:rsidRPr="00A765F3">
            <w:rPr>
              <w:noProof/>
            </w:rPr>
            <w:t>Consumer views</w:t>
          </w:r>
          <w:r>
            <w:rPr>
              <w:noProof/>
              <w:webHidden/>
            </w:rPr>
            <w:tab/>
            <w:t>56</w:t>
          </w:r>
        </w:p>
        <w:p w:rsidR="00A44348" w:rsidRDefault="00A44348">
          <w:pPr>
            <w:pStyle w:val="TOC2"/>
            <w:tabs>
              <w:tab w:val="right" w:leader="dot" w:pos="9628"/>
            </w:tabs>
            <w:rPr>
              <w:rFonts w:eastAsiaTheme="minorEastAsia"/>
              <w:noProof/>
              <w:sz w:val="22"/>
            </w:rPr>
          </w:pPr>
          <w:r w:rsidRPr="00A765F3">
            <w:rPr>
              <w:noProof/>
            </w:rPr>
            <w:t>Key findings for ToR 5: Cost-effectiveness</w:t>
          </w:r>
          <w:r>
            <w:rPr>
              <w:noProof/>
              <w:webHidden/>
            </w:rPr>
            <w:tab/>
            <w:t>57</w:t>
          </w:r>
        </w:p>
        <w:p w:rsidR="00A44348" w:rsidRDefault="00A44348">
          <w:pPr>
            <w:pStyle w:val="TOC3"/>
            <w:tabs>
              <w:tab w:val="right" w:leader="dot" w:pos="9628"/>
            </w:tabs>
            <w:rPr>
              <w:rFonts w:eastAsiaTheme="minorEastAsia"/>
              <w:noProof/>
              <w:sz w:val="22"/>
            </w:rPr>
          </w:pPr>
          <w:r w:rsidRPr="00A765F3">
            <w:rPr>
              <w:noProof/>
            </w:rPr>
            <w:t>Key findings</w:t>
          </w:r>
          <w:r>
            <w:rPr>
              <w:noProof/>
              <w:webHidden/>
            </w:rPr>
            <w:tab/>
            <w:t>57</w:t>
          </w:r>
        </w:p>
        <w:p w:rsidR="00A44348" w:rsidRDefault="00A44348">
          <w:pPr>
            <w:pStyle w:val="TOC2"/>
            <w:tabs>
              <w:tab w:val="right" w:leader="dot" w:pos="9628"/>
            </w:tabs>
            <w:rPr>
              <w:rFonts w:eastAsiaTheme="minorEastAsia"/>
              <w:noProof/>
              <w:sz w:val="22"/>
            </w:rPr>
          </w:pPr>
          <w:r w:rsidRPr="00A765F3">
            <w:rPr>
              <w:noProof/>
            </w:rPr>
            <w:t>PAH Review Options</w:t>
          </w:r>
          <w:r>
            <w:rPr>
              <w:noProof/>
              <w:webHidden/>
            </w:rPr>
            <w:tab/>
            <w:t>58</w:t>
          </w:r>
        </w:p>
        <w:p w:rsidR="00A44348" w:rsidRDefault="00A44348">
          <w:pPr>
            <w:pStyle w:val="TOC3"/>
            <w:tabs>
              <w:tab w:val="right" w:leader="dot" w:pos="9628"/>
            </w:tabs>
            <w:rPr>
              <w:rFonts w:eastAsiaTheme="minorEastAsia"/>
              <w:noProof/>
              <w:sz w:val="22"/>
            </w:rPr>
          </w:pPr>
          <w:r w:rsidRPr="00A765F3">
            <w:rPr>
              <w:noProof/>
            </w:rPr>
            <w:t>PBS options</w:t>
          </w:r>
          <w:r>
            <w:rPr>
              <w:noProof/>
              <w:webHidden/>
            </w:rPr>
            <w:tab/>
            <w:t>58</w:t>
          </w:r>
        </w:p>
        <w:p w:rsidR="00A44348" w:rsidRDefault="00A44348">
          <w:pPr>
            <w:pStyle w:val="TOC1"/>
            <w:tabs>
              <w:tab w:val="right" w:leader="dot" w:pos="9628"/>
            </w:tabs>
            <w:rPr>
              <w:rFonts w:eastAsiaTheme="minorEastAsia"/>
              <w:noProof/>
              <w:sz w:val="22"/>
            </w:rPr>
          </w:pPr>
          <w:r w:rsidRPr="00A765F3">
            <w:rPr>
              <w:noProof/>
            </w:rPr>
            <w:t>References</w:t>
          </w:r>
          <w:r>
            <w:rPr>
              <w:noProof/>
              <w:webHidden/>
            </w:rPr>
            <w:tab/>
            <w:t>70</w:t>
          </w:r>
        </w:p>
        <w:p w:rsidR="00D73E11" w:rsidRPr="009F466A" w:rsidRDefault="006D6BFD" w:rsidP="00C21496">
          <w:pPr>
            <w:jc w:val="left"/>
          </w:pPr>
        </w:p>
      </w:sdtContent>
    </w:sdt>
    <w:p w:rsidR="00B14CBF" w:rsidRDefault="00AB59A7" w:rsidP="00C21496">
      <w:pPr>
        <w:pStyle w:val="Heading1"/>
        <w:spacing w:before="480" w:after="240" w:line="240" w:lineRule="auto"/>
        <w:jc w:val="left"/>
        <w:rPr>
          <w:sz w:val="40"/>
          <w:szCs w:val="40"/>
        </w:rPr>
      </w:pPr>
      <w:bookmarkStart w:id="0" w:name="_Toc513110223"/>
      <w:r w:rsidRPr="009F466A">
        <w:rPr>
          <w:sz w:val="40"/>
          <w:szCs w:val="40"/>
        </w:rPr>
        <w:t>List of Tables</w:t>
      </w:r>
      <w:bookmarkEnd w:id="0"/>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 xml:space="preserve">Table ES.1 </w:t>
      </w:r>
      <w:r>
        <w:rPr>
          <w:rFonts w:asciiTheme="minorHAnsi" w:eastAsiaTheme="minorEastAsia" w:hAnsiTheme="minorHAnsi" w:cstheme="minorBidi"/>
          <w:noProof/>
          <w:sz w:val="22"/>
          <w:szCs w:val="22"/>
          <w:lang w:eastAsia="en-AU"/>
        </w:rPr>
        <w:tab/>
      </w:r>
      <w:r w:rsidRPr="00A765F3">
        <w:rPr>
          <w:noProof/>
        </w:rPr>
        <w:t>PBS listed medicines to treat PAH</w:t>
      </w:r>
      <w:r>
        <w:rPr>
          <w:noProof/>
          <w:webHidden/>
        </w:rPr>
        <w:tab/>
        <w:t>9</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 xml:space="preserve">Table ES.2 </w:t>
      </w:r>
      <w:r>
        <w:rPr>
          <w:rFonts w:asciiTheme="minorHAnsi" w:eastAsiaTheme="minorEastAsia" w:hAnsiTheme="minorHAnsi" w:cstheme="minorBidi"/>
          <w:noProof/>
          <w:sz w:val="22"/>
          <w:szCs w:val="22"/>
          <w:lang w:eastAsia="en-AU"/>
        </w:rPr>
        <w:tab/>
      </w:r>
      <w:r w:rsidRPr="00A765F3">
        <w:rPr>
          <w:noProof/>
        </w:rPr>
        <w:t>Methodological approaches to ToR 1, ToR 3, ToR 4 and ToR 5</w:t>
      </w:r>
      <w:r>
        <w:rPr>
          <w:noProof/>
          <w:webHidden/>
        </w:rPr>
        <w:tab/>
        <w:t>12</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ES.3</w:t>
      </w:r>
      <w:r>
        <w:rPr>
          <w:rFonts w:asciiTheme="minorHAnsi" w:eastAsiaTheme="minorEastAsia" w:hAnsiTheme="minorHAnsi" w:cstheme="minorBidi"/>
          <w:noProof/>
          <w:sz w:val="22"/>
          <w:szCs w:val="22"/>
          <w:lang w:eastAsia="en-AU"/>
        </w:rPr>
        <w:tab/>
      </w:r>
      <w:r w:rsidRPr="00A765F3">
        <w:rPr>
          <w:noProof/>
        </w:rPr>
        <w:t>Methodological approach to ToR 2</w:t>
      </w:r>
      <w:r>
        <w:rPr>
          <w:noProof/>
          <w:webHidden/>
        </w:rPr>
        <w:tab/>
        <w:t>14</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 xml:space="preserve">Table ES.4 </w:t>
      </w:r>
      <w:r>
        <w:rPr>
          <w:rFonts w:asciiTheme="minorHAnsi" w:eastAsiaTheme="minorEastAsia" w:hAnsiTheme="minorHAnsi" w:cstheme="minorBidi"/>
          <w:noProof/>
          <w:sz w:val="22"/>
          <w:szCs w:val="22"/>
          <w:lang w:eastAsia="en-AU"/>
        </w:rPr>
        <w:tab/>
      </w:r>
      <w:r w:rsidRPr="00A765F3">
        <w:rPr>
          <w:noProof/>
        </w:rPr>
        <w:t>Comparison of PBS restrictions, TGA indications and PAH guidelines</w:t>
      </w:r>
      <w:r>
        <w:rPr>
          <w:noProof/>
          <w:webHidden/>
        </w:rPr>
        <w:tab/>
        <w:t>18</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ES.5</w:t>
      </w:r>
      <w:r>
        <w:rPr>
          <w:rFonts w:asciiTheme="minorHAnsi" w:eastAsiaTheme="minorEastAsia" w:hAnsiTheme="minorHAnsi" w:cstheme="minorBidi"/>
          <w:noProof/>
          <w:sz w:val="22"/>
          <w:szCs w:val="22"/>
          <w:lang w:eastAsia="en-AU"/>
        </w:rPr>
        <w:tab/>
      </w:r>
      <w:r w:rsidRPr="00A765F3">
        <w:rPr>
          <w:noProof/>
        </w:rPr>
        <w:t>Summary of the evidence for the clinical effectiveness of an ERA compared with placebo in patients with WHO FC I/II PAH</w:t>
      </w:r>
      <w:r>
        <w:rPr>
          <w:noProof/>
          <w:webHidden/>
        </w:rPr>
        <w:tab/>
        <w:t>26</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ES.6</w:t>
      </w:r>
      <w:r>
        <w:rPr>
          <w:rFonts w:asciiTheme="minorHAnsi" w:eastAsiaTheme="minorEastAsia" w:hAnsiTheme="minorHAnsi" w:cstheme="minorBidi"/>
          <w:noProof/>
          <w:sz w:val="22"/>
          <w:szCs w:val="22"/>
          <w:lang w:eastAsia="en-AU"/>
        </w:rPr>
        <w:tab/>
      </w:r>
      <w:r w:rsidRPr="00A765F3">
        <w:rPr>
          <w:noProof/>
        </w:rPr>
        <w:t>Summary of the evidence for the clinical effectiveness of a PDE-5 inhibitor versus placebo in patients with WHO FC I/II PAH</w:t>
      </w:r>
      <w:r>
        <w:rPr>
          <w:noProof/>
          <w:webHidden/>
        </w:rPr>
        <w:tab/>
        <w:t>28</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ES.7</w:t>
      </w:r>
      <w:r>
        <w:rPr>
          <w:rFonts w:asciiTheme="minorHAnsi" w:eastAsiaTheme="minorEastAsia" w:hAnsiTheme="minorHAnsi" w:cstheme="minorBidi"/>
          <w:noProof/>
          <w:sz w:val="22"/>
          <w:szCs w:val="22"/>
          <w:lang w:eastAsia="en-AU"/>
        </w:rPr>
        <w:tab/>
      </w:r>
      <w:r w:rsidRPr="00A765F3">
        <w:rPr>
          <w:noProof/>
        </w:rPr>
        <w:t>Summary of the evidence for the clinical effectiveness of a sGC stimulator versus placebo in patients with WHO FC I/II PAH</w:t>
      </w:r>
      <w:r>
        <w:rPr>
          <w:noProof/>
          <w:webHidden/>
        </w:rPr>
        <w:tab/>
        <w:t>29</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ES.8</w:t>
      </w:r>
      <w:r>
        <w:rPr>
          <w:rFonts w:asciiTheme="minorHAnsi" w:eastAsiaTheme="minorEastAsia" w:hAnsiTheme="minorHAnsi" w:cstheme="minorBidi"/>
          <w:noProof/>
          <w:sz w:val="22"/>
          <w:szCs w:val="22"/>
          <w:lang w:eastAsia="en-AU"/>
        </w:rPr>
        <w:tab/>
      </w:r>
      <w:r w:rsidRPr="00A765F3">
        <w:rPr>
          <w:noProof/>
        </w:rPr>
        <w:t>Summary of evidence for monotherapy in patients with PAH in WHO FC III or IV</w:t>
      </w:r>
      <w:r>
        <w:rPr>
          <w:noProof/>
          <w:webHidden/>
        </w:rPr>
        <w:tab/>
        <w:t>30</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ES.9</w:t>
      </w:r>
      <w:r>
        <w:rPr>
          <w:rFonts w:asciiTheme="minorHAnsi" w:eastAsiaTheme="minorEastAsia" w:hAnsiTheme="minorHAnsi" w:cstheme="minorBidi"/>
          <w:noProof/>
          <w:sz w:val="22"/>
          <w:szCs w:val="22"/>
          <w:lang w:eastAsia="en-AU"/>
        </w:rPr>
        <w:tab/>
      </w:r>
      <w:r w:rsidRPr="00A765F3">
        <w:rPr>
          <w:noProof/>
        </w:rPr>
        <w:t>Summary of the evidence for the clinical effectiveness of an ERA in addition to a PDE-5 inhibitor, relative to PDE-5 inhibitor monotherapy</w:t>
      </w:r>
      <w:r>
        <w:rPr>
          <w:noProof/>
          <w:webHidden/>
        </w:rPr>
        <w:tab/>
        <w:t>35</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ES.10</w:t>
      </w:r>
      <w:r>
        <w:rPr>
          <w:rFonts w:asciiTheme="minorHAnsi" w:eastAsiaTheme="minorEastAsia" w:hAnsiTheme="minorHAnsi" w:cstheme="minorBidi"/>
          <w:noProof/>
          <w:sz w:val="22"/>
          <w:szCs w:val="22"/>
          <w:lang w:eastAsia="en-AU"/>
        </w:rPr>
        <w:tab/>
      </w:r>
      <w:r w:rsidRPr="00A765F3">
        <w:rPr>
          <w:noProof/>
        </w:rPr>
        <w:t>Summary of the evidence for the safety of an ERA in addition to a PDE-5 inhibitor, relative to PDE-5 inhibitor monotherapy</w:t>
      </w:r>
      <w:r>
        <w:rPr>
          <w:noProof/>
          <w:webHidden/>
        </w:rPr>
        <w:tab/>
        <w:t>37</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ES.11</w:t>
      </w:r>
      <w:r>
        <w:rPr>
          <w:rFonts w:asciiTheme="minorHAnsi" w:eastAsiaTheme="minorEastAsia" w:hAnsiTheme="minorHAnsi" w:cstheme="minorBidi"/>
          <w:noProof/>
          <w:sz w:val="22"/>
          <w:szCs w:val="22"/>
          <w:lang w:eastAsia="en-AU"/>
        </w:rPr>
        <w:tab/>
      </w:r>
      <w:r w:rsidRPr="00A765F3">
        <w:rPr>
          <w:noProof/>
        </w:rPr>
        <w:t>Summary of the evidence for the clinical effectiveness of an ERA in addition to a prostanoid, relative to prostanoid monotherapy</w:t>
      </w:r>
      <w:r>
        <w:rPr>
          <w:noProof/>
          <w:webHidden/>
        </w:rPr>
        <w:tab/>
        <w:t>38</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ES.12</w:t>
      </w:r>
      <w:r>
        <w:rPr>
          <w:rFonts w:asciiTheme="minorHAnsi" w:eastAsiaTheme="minorEastAsia" w:hAnsiTheme="minorHAnsi" w:cstheme="minorBidi"/>
          <w:noProof/>
          <w:sz w:val="22"/>
          <w:szCs w:val="22"/>
          <w:lang w:eastAsia="en-AU"/>
        </w:rPr>
        <w:tab/>
      </w:r>
      <w:r w:rsidRPr="00A765F3">
        <w:rPr>
          <w:noProof/>
        </w:rPr>
        <w:t>Summary of the evidence for the safety of an ERA in addition to a prostanoid, relative to prostanoid monotherapy</w:t>
      </w:r>
      <w:r>
        <w:rPr>
          <w:noProof/>
          <w:webHidden/>
        </w:rPr>
        <w:tab/>
        <w:t>40</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ES.13</w:t>
      </w:r>
      <w:r>
        <w:rPr>
          <w:rFonts w:asciiTheme="minorHAnsi" w:eastAsiaTheme="minorEastAsia" w:hAnsiTheme="minorHAnsi" w:cstheme="minorBidi"/>
          <w:noProof/>
          <w:sz w:val="22"/>
          <w:szCs w:val="22"/>
          <w:lang w:eastAsia="en-AU"/>
        </w:rPr>
        <w:tab/>
      </w:r>
      <w:r w:rsidRPr="00A765F3">
        <w:rPr>
          <w:noProof/>
        </w:rPr>
        <w:t>Summary of the evidence for the clinical effectiveness of a PDE-5 inhibitor in addition to an ERA, relative to ERA monotherapy</w:t>
      </w:r>
      <w:r>
        <w:rPr>
          <w:noProof/>
          <w:webHidden/>
        </w:rPr>
        <w:tab/>
        <w:t>41</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ES.14</w:t>
      </w:r>
      <w:r>
        <w:rPr>
          <w:rFonts w:asciiTheme="minorHAnsi" w:eastAsiaTheme="minorEastAsia" w:hAnsiTheme="minorHAnsi" w:cstheme="minorBidi"/>
          <w:noProof/>
          <w:sz w:val="22"/>
          <w:szCs w:val="22"/>
          <w:lang w:eastAsia="en-AU"/>
        </w:rPr>
        <w:tab/>
      </w:r>
      <w:r w:rsidRPr="00A765F3">
        <w:rPr>
          <w:noProof/>
        </w:rPr>
        <w:t>Summary of the evidence for the safety of a PDE-5 inhibitor in addition to an ERA, relative to ERA monotherapy</w:t>
      </w:r>
      <w:r>
        <w:rPr>
          <w:noProof/>
          <w:webHidden/>
        </w:rPr>
        <w:tab/>
        <w:t>43</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ES.15</w:t>
      </w:r>
      <w:r>
        <w:rPr>
          <w:rFonts w:asciiTheme="minorHAnsi" w:eastAsiaTheme="minorEastAsia" w:hAnsiTheme="minorHAnsi" w:cstheme="minorBidi"/>
          <w:noProof/>
          <w:sz w:val="22"/>
          <w:szCs w:val="22"/>
          <w:lang w:eastAsia="en-AU"/>
        </w:rPr>
        <w:tab/>
      </w:r>
      <w:r w:rsidRPr="00A765F3">
        <w:rPr>
          <w:noProof/>
        </w:rPr>
        <w:t>Summary of the evidence for the clinical effectiveness of a PDE-5 inhibitor in addition to a prostanoid, relative to prostanoid monotherapy</w:t>
      </w:r>
      <w:r>
        <w:rPr>
          <w:noProof/>
          <w:webHidden/>
        </w:rPr>
        <w:tab/>
        <w:t>44</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ES.16</w:t>
      </w:r>
      <w:r>
        <w:rPr>
          <w:rFonts w:asciiTheme="minorHAnsi" w:eastAsiaTheme="minorEastAsia" w:hAnsiTheme="minorHAnsi" w:cstheme="minorBidi"/>
          <w:noProof/>
          <w:sz w:val="22"/>
          <w:szCs w:val="22"/>
          <w:lang w:eastAsia="en-AU"/>
        </w:rPr>
        <w:tab/>
      </w:r>
      <w:r w:rsidRPr="00A765F3">
        <w:rPr>
          <w:noProof/>
        </w:rPr>
        <w:t>Summary of the evidence for the safety of a PDE-5 inhibitor in addition to a prostanoid, relative to prostanoid monotherapy</w:t>
      </w:r>
      <w:r>
        <w:rPr>
          <w:noProof/>
          <w:webHidden/>
        </w:rPr>
        <w:tab/>
        <w:t>45</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ES.17</w:t>
      </w:r>
      <w:r>
        <w:rPr>
          <w:rFonts w:asciiTheme="minorHAnsi" w:eastAsiaTheme="minorEastAsia" w:hAnsiTheme="minorHAnsi" w:cstheme="minorBidi"/>
          <w:noProof/>
          <w:sz w:val="22"/>
          <w:szCs w:val="22"/>
          <w:lang w:eastAsia="en-AU"/>
        </w:rPr>
        <w:tab/>
      </w:r>
      <w:r w:rsidRPr="00A765F3">
        <w:rPr>
          <w:noProof/>
        </w:rPr>
        <w:t>Summary of the evidence for the clinical effectiveness of a prostanoid in addition to an ERA, relative to ERA monotherapy</w:t>
      </w:r>
      <w:r>
        <w:rPr>
          <w:noProof/>
          <w:webHidden/>
        </w:rPr>
        <w:tab/>
        <w:t>46</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ES.18</w:t>
      </w:r>
      <w:r>
        <w:rPr>
          <w:rFonts w:asciiTheme="minorHAnsi" w:eastAsiaTheme="minorEastAsia" w:hAnsiTheme="minorHAnsi" w:cstheme="minorBidi"/>
          <w:noProof/>
          <w:sz w:val="22"/>
          <w:szCs w:val="22"/>
          <w:lang w:eastAsia="en-AU"/>
        </w:rPr>
        <w:tab/>
      </w:r>
      <w:r w:rsidRPr="00A765F3">
        <w:rPr>
          <w:noProof/>
        </w:rPr>
        <w:t>Summary of the evidence for the safety of a prostanoid in addition to an ERA, relative to ERA monotherapy</w:t>
      </w:r>
      <w:r>
        <w:rPr>
          <w:noProof/>
          <w:webHidden/>
        </w:rPr>
        <w:tab/>
        <w:t>47</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lastRenderedPageBreak/>
        <w:t>Table ES.19</w:t>
      </w:r>
      <w:r>
        <w:rPr>
          <w:rFonts w:asciiTheme="minorHAnsi" w:eastAsiaTheme="minorEastAsia" w:hAnsiTheme="minorHAnsi" w:cstheme="minorBidi"/>
          <w:noProof/>
          <w:sz w:val="22"/>
          <w:szCs w:val="22"/>
          <w:lang w:eastAsia="en-AU"/>
        </w:rPr>
        <w:tab/>
      </w:r>
      <w:r w:rsidRPr="00A765F3">
        <w:rPr>
          <w:noProof/>
        </w:rPr>
        <w:t>Summary of the evidence for the clinical effectiveness of a sGC stimulator in addition to an ERA, relative to ERA monotherapy</w:t>
      </w:r>
      <w:r>
        <w:rPr>
          <w:noProof/>
          <w:webHidden/>
        </w:rPr>
        <w:tab/>
        <w:t>48</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ES.20</w:t>
      </w:r>
      <w:r>
        <w:rPr>
          <w:rFonts w:asciiTheme="minorHAnsi" w:eastAsiaTheme="minorEastAsia" w:hAnsiTheme="minorHAnsi" w:cstheme="minorBidi"/>
          <w:noProof/>
          <w:sz w:val="22"/>
          <w:szCs w:val="22"/>
          <w:lang w:eastAsia="en-AU"/>
        </w:rPr>
        <w:tab/>
      </w:r>
      <w:r w:rsidRPr="00A765F3">
        <w:rPr>
          <w:noProof/>
        </w:rPr>
        <w:t>Summary of the evidence for the clinical effectiveness of a sGC stimulator in addition to a PDE-5 inhibitor, relative to PDE-5 inhibitor monotherapy</w:t>
      </w:r>
      <w:r>
        <w:rPr>
          <w:noProof/>
          <w:webHidden/>
        </w:rPr>
        <w:tab/>
        <w:t>50</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ES.21</w:t>
      </w:r>
      <w:r>
        <w:rPr>
          <w:rFonts w:asciiTheme="minorHAnsi" w:eastAsiaTheme="minorEastAsia" w:hAnsiTheme="minorHAnsi" w:cstheme="minorBidi"/>
          <w:noProof/>
          <w:sz w:val="22"/>
          <w:szCs w:val="22"/>
          <w:lang w:eastAsia="en-AU"/>
        </w:rPr>
        <w:tab/>
      </w:r>
      <w:r w:rsidRPr="00A765F3">
        <w:rPr>
          <w:noProof/>
        </w:rPr>
        <w:t>Summary of the evidence for the safety of a sGC stimulator in addition to a PDE-5 inhibitor, relative to PDE-5 inhibitor monotherapy</w:t>
      </w:r>
      <w:r>
        <w:rPr>
          <w:noProof/>
          <w:webHidden/>
        </w:rPr>
        <w:tab/>
        <w:t>52</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Table ES.22</w:t>
      </w:r>
      <w:r>
        <w:rPr>
          <w:rFonts w:asciiTheme="minorHAnsi" w:eastAsiaTheme="minorEastAsia" w:hAnsiTheme="minorHAnsi" w:cstheme="minorBidi"/>
          <w:noProof/>
          <w:sz w:val="22"/>
          <w:szCs w:val="22"/>
          <w:lang w:eastAsia="en-AU"/>
        </w:rPr>
        <w:tab/>
      </w:r>
      <w:r w:rsidRPr="00A765F3">
        <w:rPr>
          <w:noProof/>
        </w:rPr>
        <w:t>Summary of the evidence for the clinical effectiveness of a sGC stimulator in addition to a prostanoid, relative to prostanoid monotherapy</w:t>
      </w:r>
      <w:r>
        <w:rPr>
          <w:noProof/>
          <w:webHidden/>
        </w:rPr>
        <w:tab/>
        <w:t>53</w:t>
      </w:r>
    </w:p>
    <w:p w:rsidR="00111072" w:rsidRPr="000C0AF6" w:rsidRDefault="00111072" w:rsidP="00C21496">
      <w:pPr>
        <w:jc w:val="left"/>
      </w:pPr>
    </w:p>
    <w:p w:rsidR="00AB59A7" w:rsidRPr="009F466A" w:rsidRDefault="00AB59A7" w:rsidP="00C21496">
      <w:pPr>
        <w:pStyle w:val="Heading1"/>
        <w:spacing w:before="480" w:after="240" w:line="240" w:lineRule="auto"/>
        <w:jc w:val="left"/>
        <w:rPr>
          <w:sz w:val="40"/>
          <w:szCs w:val="40"/>
        </w:rPr>
      </w:pPr>
      <w:bookmarkStart w:id="1" w:name="_Toc513110224"/>
      <w:r w:rsidRPr="009F466A">
        <w:rPr>
          <w:sz w:val="40"/>
          <w:szCs w:val="40"/>
        </w:rPr>
        <w:t>List of Figures</w:t>
      </w:r>
      <w:bookmarkEnd w:id="1"/>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Figure ES.1</w:t>
      </w:r>
      <w:r>
        <w:rPr>
          <w:rFonts w:asciiTheme="minorHAnsi" w:eastAsiaTheme="minorEastAsia" w:hAnsiTheme="minorHAnsi" w:cstheme="minorBidi"/>
          <w:noProof/>
          <w:sz w:val="22"/>
          <w:szCs w:val="22"/>
          <w:lang w:eastAsia="en-AU"/>
        </w:rPr>
        <w:tab/>
      </w:r>
      <w:r w:rsidRPr="00A765F3">
        <w:rPr>
          <w:noProof/>
        </w:rPr>
        <w:t>WHO functional classes for PAH</w:t>
      </w:r>
      <w:r>
        <w:rPr>
          <w:noProof/>
          <w:webHidden/>
        </w:rPr>
        <w:tab/>
        <w:t>8</w:t>
      </w:r>
    </w:p>
    <w:p w:rsidR="001960CE" w:rsidRDefault="001960CE">
      <w:pPr>
        <w:pStyle w:val="TableofFigures"/>
        <w:tabs>
          <w:tab w:val="right" w:leader="dot" w:pos="9628"/>
        </w:tabs>
        <w:rPr>
          <w:rFonts w:asciiTheme="minorHAnsi" w:eastAsiaTheme="minorEastAsia" w:hAnsiTheme="minorHAnsi" w:cstheme="minorBidi"/>
          <w:noProof/>
          <w:sz w:val="22"/>
          <w:szCs w:val="22"/>
          <w:lang w:eastAsia="en-AU"/>
        </w:rPr>
      </w:pPr>
      <w:r w:rsidRPr="00A765F3">
        <w:rPr>
          <w:noProof/>
        </w:rPr>
        <w:t>Figure ES.2</w:t>
      </w:r>
      <w:r>
        <w:rPr>
          <w:rFonts w:asciiTheme="minorHAnsi" w:eastAsiaTheme="minorEastAsia" w:hAnsiTheme="minorHAnsi" w:cstheme="minorBidi"/>
          <w:noProof/>
          <w:sz w:val="22"/>
          <w:szCs w:val="22"/>
          <w:lang w:eastAsia="en-AU"/>
        </w:rPr>
        <w:tab/>
      </w:r>
      <w:r w:rsidRPr="00A765F3">
        <w:rPr>
          <w:noProof/>
        </w:rPr>
        <w:t>Timeline of PBAC consideration of PAH medicines and date of PBS listing</w:t>
      </w:r>
      <w:r>
        <w:rPr>
          <w:noProof/>
          <w:webHidden/>
        </w:rPr>
        <w:tab/>
        <w:t>10</w:t>
      </w:r>
    </w:p>
    <w:p w:rsidR="00AB59A7" w:rsidRPr="009F466A" w:rsidRDefault="00AB59A7" w:rsidP="00C21496">
      <w:pPr>
        <w:jc w:val="left"/>
      </w:pPr>
    </w:p>
    <w:p w:rsidR="009F466A" w:rsidRPr="00250C50" w:rsidRDefault="009F466A" w:rsidP="00C21496">
      <w:pPr>
        <w:jc w:val="left"/>
        <w:rPr>
          <w:rFonts w:eastAsiaTheme="majorEastAsia" w:cstheme="majorBidi"/>
          <w:b/>
          <w:bCs/>
          <w:sz w:val="40"/>
          <w:szCs w:val="40"/>
        </w:rPr>
      </w:pPr>
      <w:bookmarkStart w:id="2" w:name="_Toc503274948"/>
      <w:r w:rsidRPr="00250C50">
        <w:rPr>
          <w:sz w:val="40"/>
          <w:szCs w:val="40"/>
        </w:rPr>
        <w:br w:type="page"/>
      </w:r>
    </w:p>
    <w:p w:rsidR="00101F92" w:rsidRPr="009F466A" w:rsidRDefault="00101F92" w:rsidP="00C21496">
      <w:pPr>
        <w:pStyle w:val="Heading1"/>
        <w:spacing w:before="480" w:after="240" w:line="240" w:lineRule="auto"/>
        <w:jc w:val="left"/>
        <w:rPr>
          <w:sz w:val="40"/>
          <w:szCs w:val="40"/>
        </w:rPr>
      </w:pPr>
      <w:bookmarkStart w:id="3" w:name="_Toc513110225"/>
      <w:r w:rsidRPr="009F466A">
        <w:rPr>
          <w:sz w:val="40"/>
          <w:szCs w:val="40"/>
        </w:rPr>
        <w:lastRenderedPageBreak/>
        <w:t>Abbreviations</w:t>
      </w:r>
      <w:bookmarkEnd w:id="2"/>
      <w:bookmarkEnd w:id="3"/>
    </w:p>
    <w:tbl>
      <w:tblPr>
        <w:tblStyle w:val="TableGrid3"/>
        <w:tblW w:w="0" w:type="auto"/>
        <w:tblLook w:val="01E0" w:firstRow="1" w:lastRow="1" w:firstColumn="1" w:lastColumn="1" w:noHBand="0" w:noVBand="0"/>
        <w:tblCaption w:val="Abbreviation"/>
        <w:tblDescription w:val="Abbreviation"/>
      </w:tblPr>
      <w:tblGrid>
        <w:gridCol w:w="1980"/>
        <w:gridCol w:w="6660"/>
      </w:tblGrid>
      <w:tr w:rsidR="00101F92" w:rsidRPr="009F466A" w:rsidTr="00AA5636">
        <w:trPr>
          <w:trHeight w:val="411"/>
          <w:tblHeader/>
        </w:trPr>
        <w:tc>
          <w:tcPr>
            <w:tcW w:w="1980" w:type="dxa"/>
            <w:tcBorders>
              <w:top w:val="nil"/>
              <w:left w:val="nil"/>
              <w:bottom w:val="nil"/>
              <w:right w:val="nil"/>
            </w:tcBorders>
            <w:shd w:val="clear" w:color="auto" w:fill="A6A6A6" w:themeFill="background1" w:themeFillShade="A6"/>
            <w:vAlign w:val="center"/>
          </w:tcPr>
          <w:p w:rsidR="00101F92" w:rsidRPr="009F466A" w:rsidRDefault="00101F92" w:rsidP="00C21496">
            <w:pPr>
              <w:pStyle w:val="TableTextDusc"/>
              <w:rPr>
                <w:b/>
              </w:rPr>
            </w:pPr>
            <w:r w:rsidRPr="009F466A">
              <w:rPr>
                <w:b/>
              </w:rPr>
              <w:t>Abbreviation</w:t>
            </w:r>
          </w:p>
        </w:tc>
        <w:tc>
          <w:tcPr>
            <w:tcW w:w="6660" w:type="dxa"/>
            <w:tcBorders>
              <w:top w:val="nil"/>
              <w:left w:val="nil"/>
              <w:bottom w:val="nil"/>
              <w:right w:val="nil"/>
            </w:tcBorders>
            <w:shd w:val="clear" w:color="auto" w:fill="A6A6A6" w:themeFill="background1" w:themeFillShade="A6"/>
            <w:vAlign w:val="center"/>
          </w:tcPr>
          <w:p w:rsidR="00101F92" w:rsidRPr="009F466A" w:rsidRDefault="00101F92" w:rsidP="00C21496">
            <w:pPr>
              <w:pStyle w:val="TableTextDusc"/>
              <w:rPr>
                <w:b/>
              </w:rPr>
            </w:pPr>
            <w:r w:rsidRPr="009F466A">
              <w:rPr>
                <w:b/>
              </w:rPr>
              <w:t xml:space="preserve">Full Name / Wording </w:t>
            </w:r>
          </w:p>
        </w:tc>
      </w:tr>
      <w:tr w:rsidR="00857CFD"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6MWT</w:t>
            </w:r>
          </w:p>
        </w:tc>
        <w:tc>
          <w:tcPr>
            <w:tcW w:w="666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Six minute walk test</w:t>
            </w:r>
          </w:p>
        </w:tc>
      </w:tr>
      <w:tr w:rsidR="00F5703F"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6MWD</w:t>
            </w:r>
          </w:p>
        </w:tc>
        <w:tc>
          <w:tcPr>
            <w:tcW w:w="666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Six minute walk distance</w:t>
            </w:r>
          </w:p>
        </w:tc>
      </w:tr>
      <w:tr w:rsidR="00BD33BC" w:rsidRPr="00BD33BC" w:rsidTr="00AA5636">
        <w:trPr>
          <w:trHeight w:val="411"/>
        </w:trPr>
        <w:tc>
          <w:tcPr>
            <w:tcW w:w="1980" w:type="dxa"/>
            <w:tcBorders>
              <w:top w:val="nil"/>
              <w:left w:val="nil"/>
              <w:bottom w:val="nil"/>
              <w:right w:val="nil"/>
            </w:tcBorders>
            <w:vAlign w:val="center"/>
          </w:tcPr>
          <w:p w:rsidR="007F3002" w:rsidRPr="00BD33BC" w:rsidRDefault="007F3002" w:rsidP="00C21496">
            <w:pPr>
              <w:jc w:val="left"/>
              <w:rPr>
                <w:rFonts w:cs="Arial"/>
                <w:sz w:val="22"/>
                <w:szCs w:val="22"/>
              </w:rPr>
            </w:pPr>
            <w:r w:rsidRPr="00BD33BC">
              <w:rPr>
                <w:rFonts w:cs="Arial"/>
                <w:sz w:val="22"/>
                <w:szCs w:val="22"/>
              </w:rPr>
              <w:t>ACC</w:t>
            </w:r>
          </w:p>
        </w:tc>
        <w:tc>
          <w:tcPr>
            <w:tcW w:w="6660" w:type="dxa"/>
            <w:tcBorders>
              <w:top w:val="nil"/>
              <w:left w:val="nil"/>
              <w:bottom w:val="nil"/>
              <w:right w:val="nil"/>
            </w:tcBorders>
            <w:vAlign w:val="center"/>
          </w:tcPr>
          <w:p w:rsidR="007F3002" w:rsidRPr="00BD33BC" w:rsidRDefault="007F3002" w:rsidP="00C21496">
            <w:pPr>
              <w:jc w:val="left"/>
              <w:rPr>
                <w:rFonts w:cs="Arial"/>
                <w:sz w:val="22"/>
                <w:szCs w:val="22"/>
              </w:rPr>
            </w:pPr>
            <w:r w:rsidRPr="00BD33BC">
              <w:rPr>
                <w:rFonts w:cs="Arial"/>
                <w:sz w:val="22"/>
                <w:szCs w:val="22"/>
              </w:rPr>
              <w:t xml:space="preserve">American College of Cardiology </w:t>
            </w:r>
          </w:p>
        </w:tc>
      </w:tr>
      <w:tr w:rsidR="00F5703F"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AE</w:t>
            </w:r>
          </w:p>
        </w:tc>
        <w:tc>
          <w:tcPr>
            <w:tcW w:w="666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Adverse event</w:t>
            </w:r>
          </w:p>
        </w:tc>
      </w:tr>
      <w:tr w:rsidR="004D7A6F" w:rsidRPr="007643C2" w:rsidTr="00AA5636">
        <w:trPr>
          <w:trHeight w:val="411"/>
        </w:trPr>
        <w:tc>
          <w:tcPr>
            <w:tcW w:w="1980" w:type="dxa"/>
            <w:tcBorders>
              <w:top w:val="nil"/>
              <w:left w:val="nil"/>
              <w:bottom w:val="nil"/>
              <w:right w:val="nil"/>
            </w:tcBorders>
            <w:vAlign w:val="center"/>
          </w:tcPr>
          <w:p w:rsidR="004D7A6F" w:rsidRPr="007643C2" w:rsidRDefault="004D7A6F" w:rsidP="00C21496">
            <w:pPr>
              <w:jc w:val="left"/>
              <w:rPr>
                <w:rFonts w:cs="Arial"/>
                <w:sz w:val="22"/>
                <w:szCs w:val="22"/>
              </w:rPr>
            </w:pPr>
            <w:r w:rsidRPr="007643C2">
              <w:rPr>
                <w:rFonts w:cs="Arial"/>
                <w:sz w:val="22"/>
                <w:szCs w:val="22"/>
              </w:rPr>
              <w:t>AGREE</w:t>
            </w:r>
          </w:p>
        </w:tc>
        <w:tc>
          <w:tcPr>
            <w:tcW w:w="6660" w:type="dxa"/>
            <w:tcBorders>
              <w:top w:val="nil"/>
              <w:left w:val="nil"/>
              <w:bottom w:val="nil"/>
              <w:right w:val="nil"/>
            </w:tcBorders>
            <w:vAlign w:val="center"/>
          </w:tcPr>
          <w:p w:rsidR="004D7A6F" w:rsidRPr="007643C2" w:rsidRDefault="004D7A6F" w:rsidP="00C21496">
            <w:pPr>
              <w:jc w:val="left"/>
              <w:rPr>
                <w:rFonts w:cs="Arial"/>
                <w:sz w:val="22"/>
                <w:szCs w:val="22"/>
              </w:rPr>
            </w:pPr>
            <w:r w:rsidRPr="007643C2">
              <w:rPr>
                <w:rFonts w:cs="Arial"/>
                <w:sz w:val="22"/>
                <w:szCs w:val="22"/>
              </w:rPr>
              <w:t>Appraisal of Guidelines for Research and Evaluation</w:t>
            </w:r>
          </w:p>
        </w:tc>
      </w:tr>
      <w:tr w:rsidR="002B1993" w:rsidRPr="002B1993" w:rsidTr="00AA5636">
        <w:trPr>
          <w:trHeight w:val="411"/>
        </w:trPr>
        <w:tc>
          <w:tcPr>
            <w:tcW w:w="198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rFonts w:cs="Arial"/>
                <w:sz w:val="22"/>
                <w:szCs w:val="22"/>
              </w:rPr>
              <w:t>AHA</w:t>
            </w:r>
          </w:p>
        </w:tc>
        <w:tc>
          <w:tcPr>
            <w:tcW w:w="666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rFonts w:cs="Arial"/>
                <w:sz w:val="22"/>
                <w:szCs w:val="22"/>
              </w:rPr>
              <w:t>American Heart Association</w:t>
            </w:r>
          </w:p>
        </w:tc>
      </w:tr>
      <w:tr w:rsidR="002B1993" w:rsidRPr="002B1993" w:rsidTr="00AA5636">
        <w:trPr>
          <w:trHeight w:val="411"/>
        </w:trPr>
        <w:tc>
          <w:tcPr>
            <w:tcW w:w="198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rFonts w:cs="Arial"/>
                <w:sz w:val="22"/>
                <w:szCs w:val="22"/>
              </w:rPr>
              <w:t>ARD</w:t>
            </w:r>
          </w:p>
        </w:tc>
        <w:tc>
          <w:tcPr>
            <w:tcW w:w="666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sz w:val="22"/>
                <w:szCs w:val="22"/>
              </w:rPr>
              <w:t>Absolute risk difference</w:t>
            </w:r>
          </w:p>
        </w:tc>
      </w:tr>
      <w:tr w:rsidR="00F5703F"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ARTG</w:t>
            </w:r>
          </w:p>
        </w:tc>
        <w:tc>
          <w:tcPr>
            <w:tcW w:w="666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Australian Register of Therapeutic Goods</w:t>
            </w:r>
          </w:p>
        </w:tc>
      </w:tr>
      <w:tr w:rsidR="007619B5" w:rsidRPr="009F466A" w:rsidTr="00AA5636">
        <w:trPr>
          <w:trHeight w:val="411"/>
        </w:trPr>
        <w:tc>
          <w:tcPr>
            <w:tcW w:w="198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ASCS</w:t>
            </w:r>
          </w:p>
        </w:tc>
        <w:tc>
          <w:tcPr>
            <w:tcW w:w="666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Australian Scleroderma Cohort Study</w:t>
            </w:r>
          </w:p>
        </w:tc>
      </w:tr>
      <w:tr w:rsidR="007619B5" w:rsidRPr="009F466A" w:rsidTr="00AA5636">
        <w:trPr>
          <w:trHeight w:val="411"/>
        </w:trPr>
        <w:tc>
          <w:tcPr>
            <w:tcW w:w="198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ASIG</w:t>
            </w:r>
          </w:p>
        </w:tc>
        <w:tc>
          <w:tcPr>
            <w:tcW w:w="666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Australian Scleroderma Interest Group</w:t>
            </w:r>
          </w:p>
        </w:tc>
      </w:tr>
      <w:tr w:rsidR="002B1993" w:rsidRPr="002B1993" w:rsidTr="00AA5636">
        <w:trPr>
          <w:trHeight w:val="411"/>
        </w:trPr>
        <w:tc>
          <w:tcPr>
            <w:tcW w:w="198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rFonts w:cs="Arial"/>
                <w:sz w:val="22"/>
                <w:szCs w:val="22"/>
              </w:rPr>
              <w:t>CADTH</w:t>
            </w:r>
          </w:p>
        </w:tc>
        <w:tc>
          <w:tcPr>
            <w:tcW w:w="6660" w:type="dxa"/>
            <w:tcBorders>
              <w:top w:val="nil"/>
              <w:left w:val="nil"/>
              <w:bottom w:val="nil"/>
              <w:right w:val="nil"/>
            </w:tcBorders>
            <w:vAlign w:val="center"/>
          </w:tcPr>
          <w:p w:rsidR="007F3002" w:rsidRPr="002B1993" w:rsidRDefault="007F3002" w:rsidP="00C21496">
            <w:pPr>
              <w:jc w:val="left"/>
              <w:rPr>
                <w:rFonts w:cs="Arial"/>
                <w:sz w:val="22"/>
                <w:szCs w:val="22"/>
              </w:rPr>
            </w:pPr>
            <w:r w:rsidRPr="002B1993">
              <w:rPr>
                <w:rFonts w:cs="Arial"/>
                <w:sz w:val="22"/>
                <w:szCs w:val="22"/>
              </w:rPr>
              <w:t>Canadian Agency for Drugs and Technologies in Health</w:t>
            </w:r>
          </w:p>
        </w:tc>
      </w:tr>
      <w:tr w:rsidR="00D35BBD" w:rsidRPr="009F466A" w:rsidTr="00AA5636">
        <w:trPr>
          <w:trHeight w:val="411"/>
        </w:trPr>
        <w:tc>
          <w:tcPr>
            <w:tcW w:w="1980" w:type="dxa"/>
            <w:tcBorders>
              <w:top w:val="nil"/>
              <w:left w:val="nil"/>
              <w:bottom w:val="nil"/>
              <w:right w:val="nil"/>
            </w:tcBorders>
            <w:vAlign w:val="center"/>
          </w:tcPr>
          <w:p w:rsidR="00D35BBD" w:rsidRPr="009F466A" w:rsidRDefault="00D35BBD" w:rsidP="00C21496">
            <w:pPr>
              <w:jc w:val="left"/>
              <w:rPr>
                <w:rFonts w:cs="Arial"/>
                <w:sz w:val="22"/>
              </w:rPr>
            </w:pPr>
            <w:r>
              <w:rPr>
                <w:rFonts w:cs="Arial"/>
                <w:sz w:val="22"/>
              </w:rPr>
              <w:t>CATAG</w:t>
            </w:r>
          </w:p>
        </w:tc>
        <w:tc>
          <w:tcPr>
            <w:tcW w:w="6660" w:type="dxa"/>
            <w:tcBorders>
              <w:top w:val="nil"/>
              <w:left w:val="nil"/>
              <w:bottom w:val="nil"/>
              <w:right w:val="nil"/>
            </w:tcBorders>
            <w:vAlign w:val="center"/>
          </w:tcPr>
          <w:p w:rsidR="00D35BBD" w:rsidRPr="009F466A" w:rsidRDefault="00D35BBD" w:rsidP="00C21496">
            <w:pPr>
              <w:jc w:val="left"/>
              <w:rPr>
                <w:rFonts w:cs="Arial"/>
                <w:sz w:val="22"/>
              </w:rPr>
            </w:pPr>
            <w:r w:rsidRPr="00D35BBD">
              <w:rPr>
                <w:rFonts w:cs="Arial"/>
                <w:sz w:val="22"/>
              </w:rPr>
              <w:t>Council of Australian Therapeutic Advisory Groups</w:t>
            </w:r>
          </w:p>
        </w:tc>
      </w:tr>
      <w:tr w:rsidR="006471C8"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CCB</w:t>
            </w:r>
          </w:p>
        </w:tc>
        <w:tc>
          <w:tcPr>
            <w:tcW w:w="666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Calcium channel blocker</w:t>
            </w:r>
          </w:p>
        </w:tc>
      </w:tr>
      <w:tr w:rsidR="007F3002" w:rsidRPr="009F466A" w:rsidTr="00AA5636">
        <w:trPr>
          <w:trHeight w:val="411"/>
        </w:trPr>
        <w:tc>
          <w:tcPr>
            <w:tcW w:w="1980" w:type="dxa"/>
            <w:tcBorders>
              <w:top w:val="nil"/>
              <w:left w:val="nil"/>
              <w:bottom w:val="nil"/>
              <w:right w:val="nil"/>
            </w:tcBorders>
            <w:vAlign w:val="center"/>
          </w:tcPr>
          <w:p w:rsidR="007F3002" w:rsidRPr="009F466A" w:rsidRDefault="007F3002" w:rsidP="00C21496">
            <w:pPr>
              <w:jc w:val="left"/>
              <w:rPr>
                <w:rFonts w:cs="Arial"/>
                <w:sz w:val="22"/>
                <w:szCs w:val="22"/>
              </w:rPr>
            </w:pPr>
            <w:r w:rsidRPr="009F466A">
              <w:rPr>
                <w:rFonts w:cs="Arial"/>
                <w:sz w:val="22"/>
                <w:szCs w:val="22"/>
              </w:rPr>
              <w:t>CI</w:t>
            </w:r>
          </w:p>
        </w:tc>
        <w:tc>
          <w:tcPr>
            <w:tcW w:w="6660" w:type="dxa"/>
            <w:tcBorders>
              <w:top w:val="nil"/>
              <w:left w:val="nil"/>
              <w:bottom w:val="nil"/>
              <w:right w:val="nil"/>
            </w:tcBorders>
            <w:vAlign w:val="center"/>
          </w:tcPr>
          <w:p w:rsidR="007F3002" w:rsidRPr="009F466A" w:rsidRDefault="0017746E" w:rsidP="00C21496">
            <w:pPr>
              <w:jc w:val="left"/>
              <w:rPr>
                <w:rFonts w:cs="Arial"/>
                <w:sz w:val="22"/>
                <w:szCs w:val="22"/>
              </w:rPr>
            </w:pPr>
            <w:r w:rsidRPr="009F466A">
              <w:rPr>
                <w:rFonts w:cs="Arial"/>
                <w:sz w:val="22"/>
                <w:szCs w:val="22"/>
              </w:rPr>
              <w:t>Confidence Interval</w:t>
            </w:r>
          </w:p>
        </w:tc>
      </w:tr>
      <w:tr w:rsidR="00220EDF" w:rsidRPr="00220EDF" w:rsidTr="00AA5636">
        <w:trPr>
          <w:trHeight w:val="411"/>
        </w:trPr>
        <w:tc>
          <w:tcPr>
            <w:tcW w:w="1980" w:type="dxa"/>
            <w:tcBorders>
              <w:top w:val="nil"/>
              <w:left w:val="nil"/>
              <w:bottom w:val="nil"/>
              <w:right w:val="nil"/>
            </w:tcBorders>
            <w:vAlign w:val="center"/>
          </w:tcPr>
          <w:p w:rsidR="007F3002" w:rsidRPr="00220EDF" w:rsidRDefault="007F3002" w:rsidP="00C21496">
            <w:pPr>
              <w:jc w:val="left"/>
              <w:rPr>
                <w:rFonts w:cs="Arial"/>
                <w:sz w:val="22"/>
                <w:szCs w:val="22"/>
              </w:rPr>
            </w:pPr>
            <w:r w:rsidRPr="00220EDF">
              <w:rPr>
                <w:rFonts w:cs="Arial"/>
                <w:sz w:val="22"/>
                <w:szCs w:val="22"/>
              </w:rPr>
              <w:t>CTEPH</w:t>
            </w:r>
          </w:p>
        </w:tc>
        <w:tc>
          <w:tcPr>
            <w:tcW w:w="6660" w:type="dxa"/>
            <w:tcBorders>
              <w:top w:val="nil"/>
              <w:left w:val="nil"/>
              <w:bottom w:val="nil"/>
              <w:right w:val="nil"/>
            </w:tcBorders>
            <w:vAlign w:val="center"/>
          </w:tcPr>
          <w:p w:rsidR="007F3002" w:rsidRPr="00220EDF" w:rsidRDefault="007F3002" w:rsidP="00C21496">
            <w:pPr>
              <w:jc w:val="left"/>
              <w:rPr>
                <w:rFonts w:cs="Arial"/>
                <w:sz w:val="22"/>
                <w:szCs w:val="22"/>
              </w:rPr>
            </w:pPr>
            <w:r w:rsidRPr="00220EDF">
              <w:rPr>
                <w:rFonts w:cs="Arial"/>
                <w:sz w:val="22"/>
                <w:szCs w:val="22"/>
              </w:rPr>
              <w:t>Chronic thromboembolic pulmonary hypertension</w:t>
            </w:r>
          </w:p>
        </w:tc>
      </w:tr>
      <w:tr w:rsidR="00220EDF" w:rsidRPr="00220EDF" w:rsidTr="00AA5636">
        <w:trPr>
          <w:trHeight w:val="411"/>
        </w:trPr>
        <w:tc>
          <w:tcPr>
            <w:tcW w:w="1980" w:type="dxa"/>
            <w:tcBorders>
              <w:top w:val="nil"/>
              <w:left w:val="nil"/>
              <w:bottom w:val="nil"/>
              <w:right w:val="nil"/>
            </w:tcBorders>
            <w:vAlign w:val="center"/>
          </w:tcPr>
          <w:p w:rsidR="007F3002" w:rsidRPr="00220EDF" w:rsidRDefault="007F3002" w:rsidP="00C21496">
            <w:pPr>
              <w:jc w:val="left"/>
              <w:rPr>
                <w:rFonts w:cs="Arial"/>
                <w:sz w:val="22"/>
                <w:szCs w:val="22"/>
              </w:rPr>
            </w:pPr>
            <w:r w:rsidRPr="00220EDF">
              <w:rPr>
                <w:rFonts w:cs="Arial"/>
                <w:sz w:val="22"/>
                <w:szCs w:val="22"/>
              </w:rPr>
              <w:t>DHS</w:t>
            </w:r>
          </w:p>
        </w:tc>
        <w:tc>
          <w:tcPr>
            <w:tcW w:w="6660" w:type="dxa"/>
            <w:tcBorders>
              <w:top w:val="nil"/>
              <w:left w:val="nil"/>
              <w:bottom w:val="nil"/>
              <w:right w:val="nil"/>
            </w:tcBorders>
            <w:vAlign w:val="center"/>
          </w:tcPr>
          <w:p w:rsidR="007F3002" w:rsidRPr="00220EDF" w:rsidRDefault="007F3002" w:rsidP="00C21496">
            <w:pPr>
              <w:jc w:val="left"/>
              <w:rPr>
                <w:rFonts w:cs="Arial"/>
                <w:sz w:val="22"/>
                <w:szCs w:val="22"/>
              </w:rPr>
            </w:pPr>
            <w:r w:rsidRPr="00220EDF">
              <w:rPr>
                <w:rFonts w:cs="Arial"/>
                <w:sz w:val="22"/>
                <w:szCs w:val="22"/>
              </w:rPr>
              <w:t xml:space="preserve">Department of Human Services </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DUSC</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Drug Utilisation Sub-Committee</w:t>
            </w:r>
          </w:p>
        </w:tc>
      </w:tr>
      <w:tr w:rsidR="006471C8" w:rsidRPr="009F466A" w:rsidTr="00AA5636">
        <w:trPr>
          <w:trHeight w:val="411"/>
        </w:trPr>
        <w:tc>
          <w:tcPr>
            <w:tcW w:w="1980" w:type="dxa"/>
            <w:tcBorders>
              <w:top w:val="nil"/>
              <w:left w:val="nil"/>
              <w:bottom w:val="nil"/>
              <w:right w:val="nil"/>
            </w:tcBorders>
            <w:vAlign w:val="center"/>
          </w:tcPr>
          <w:p w:rsidR="006471C8" w:rsidRPr="009F466A" w:rsidRDefault="006471C8" w:rsidP="00C21496">
            <w:pPr>
              <w:jc w:val="left"/>
              <w:rPr>
                <w:rFonts w:cs="Arial"/>
                <w:sz w:val="22"/>
              </w:rPr>
            </w:pPr>
            <w:r w:rsidRPr="009F466A">
              <w:rPr>
                <w:rFonts w:cs="Arial"/>
                <w:sz w:val="22"/>
              </w:rPr>
              <w:t>ECHO</w:t>
            </w:r>
          </w:p>
        </w:tc>
        <w:tc>
          <w:tcPr>
            <w:tcW w:w="6660" w:type="dxa"/>
            <w:tcBorders>
              <w:top w:val="nil"/>
              <w:left w:val="nil"/>
              <w:bottom w:val="nil"/>
              <w:right w:val="nil"/>
            </w:tcBorders>
            <w:vAlign w:val="center"/>
          </w:tcPr>
          <w:p w:rsidR="006471C8" w:rsidRPr="009F466A" w:rsidRDefault="006471C8" w:rsidP="00C21496">
            <w:pPr>
              <w:jc w:val="left"/>
              <w:rPr>
                <w:rFonts w:cs="Arial"/>
                <w:sz w:val="22"/>
              </w:rPr>
            </w:pPr>
            <w:r w:rsidRPr="009F466A">
              <w:rPr>
                <w:rFonts w:cs="Arial"/>
                <w:sz w:val="22"/>
              </w:rPr>
              <w:t>Echocardiography</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EMA</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European Medicines Agency</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EQ-5D</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proofErr w:type="spellStart"/>
            <w:r w:rsidRPr="00220EDF">
              <w:rPr>
                <w:rFonts w:cs="Arial"/>
                <w:sz w:val="22"/>
              </w:rPr>
              <w:t>EuroQol</w:t>
            </w:r>
            <w:proofErr w:type="spellEnd"/>
            <w:r w:rsidRPr="00220EDF">
              <w:rPr>
                <w:rFonts w:cs="Arial"/>
                <w:sz w:val="22"/>
              </w:rPr>
              <w:t xml:space="preserve"> 5-dimension</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EQ-VAS</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proofErr w:type="spellStart"/>
            <w:r w:rsidRPr="00220EDF">
              <w:rPr>
                <w:rFonts w:cs="Arial"/>
                <w:sz w:val="22"/>
              </w:rPr>
              <w:t>EuroQol</w:t>
            </w:r>
            <w:proofErr w:type="spellEnd"/>
            <w:r w:rsidRPr="00220EDF">
              <w:rPr>
                <w:rFonts w:cs="Arial"/>
                <w:sz w:val="22"/>
              </w:rPr>
              <w:t xml:space="preserve"> visual analogue scale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ERA</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Endothelin receptor antagonist</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ERS</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European Respiratory Society</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ESC</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European Society of Cardiology</w:t>
            </w:r>
          </w:p>
        </w:tc>
      </w:tr>
      <w:tr w:rsidR="0080302C" w:rsidRPr="009F466A" w:rsidTr="00AA5636">
        <w:trPr>
          <w:trHeight w:val="411"/>
        </w:trPr>
        <w:tc>
          <w:tcPr>
            <w:tcW w:w="1980" w:type="dxa"/>
            <w:tcBorders>
              <w:top w:val="nil"/>
              <w:left w:val="nil"/>
              <w:bottom w:val="nil"/>
              <w:right w:val="nil"/>
            </w:tcBorders>
            <w:vAlign w:val="center"/>
          </w:tcPr>
          <w:p w:rsidR="0080302C" w:rsidRPr="009F466A" w:rsidRDefault="0080302C" w:rsidP="00C21496">
            <w:pPr>
              <w:jc w:val="left"/>
              <w:rPr>
                <w:rFonts w:cs="Arial"/>
                <w:sz w:val="22"/>
              </w:rPr>
            </w:pPr>
            <w:r>
              <w:rPr>
                <w:rFonts w:cs="Arial"/>
                <w:sz w:val="22"/>
              </w:rPr>
              <w:t>ESC/ERS guidelines</w:t>
            </w:r>
          </w:p>
        </w:tc>
        <w:tc>
          <w:tcPr>
            <w:tcW w:w="6660" w:type="dxa"/>
            <w:tcBorders>
              <w:top w:val="nil"/>
              <w:left w:val="nil"/>
              <w:bottom w:val="nil"/>
              <w:right w:val="nil"/>
            </w:tcBorders>
            <w:vAlign w:val="center"/>
          </w:tcPr>
          <w:p w:rsidR="0080302C" w:rsidRPr="009F466A" w:rsidRDefault="0080302C" w:rsidP="00C21496">
            <w:pPr>
              <w:jc w:val="left"/>
              <w:rPr>
                <w:rFonts w:cs="Arial"/>
                <w:sz w:val="22"/>
              </w:rPr>
            </w:pPr>
            <w:r w:rsidRPr="0080302C">
              <w:rPr>
                <w:rFonts w:cs="Arial"/>
                <w:sz w:val="22"/>
              </w:rPr>
              <w:t>2015 ESC/ERS guidelines for the diagnosis and treatment of pulmonary hypertension</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FC</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Functional class</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FDA</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United States Food and Drug Administration</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GRADE</w:t>
            </w:r>
            <w:r w:rsidRPr="00220EDF">
              <w:rPr>
                <w:rFonts w:cs="Arial"/>
                <w:sz w:val="22"/>
              </w:rPr>
              <w:tab/>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Grading of Recommendations Assessment, Development, and Evaluation</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HPAH</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Heritable pulmonary arterial hypertension</w:t>
            </w:r>
          </w:p>
        </w:tc>
      </w:tr>
      <w:tr w:rsidR="00220EDF" w:rsidRPr="00220EDF" w:rsidTr="00AA5636">
        <w:trPr>
          <w:trHeight w:val="411"/>
        </w:trPr>
        <w:tc>
          <w:tcPr>
            <w:tcW w:w="198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HR</w:t>
            </w:r>
          </w:p>
        </w:tc>
        <w:tc>
          <w:tcPr>
            <w:tcW w:w="6660" w:type="dxa"/>
            <w:tcBorders>
              <w:top w:val="nil"/>
              <w:left w:val="nil"/>
              <w:bottom w:val="nil"/>
              <w:right w:val="nil"/>
            </w:tcBorders>
            <w:vAlign w:val="center"/>
          </w:tcPr>
          <w:p w:rsidR="00857CFD" w:rsidRPr="00220EDF" w:rsidRDefault="00857CFD" w:rsidP="00C21496">
            <w:pPr>
              <w:jc w:val="left"/>
              <w:rPr>
                <w:rFonts w:cs="Arial"/>
                <w:sz w:val="22"/>
              </w:rPr>
            </w:pPr>
            <w:r w:rsidRPr="00220EDF">
              <w:rPr>
                <w:rFonts w:cs="Arial"/>
                <w:sz w:val="22"/>
              </w:rPr>
              <w:t>Hazard ratio</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IPAH</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Idiopathic pulmonary arterial hypertension</w:t>
            </w:r>
          </w:p>
        </w:tc>
      </w:tr>
      <w:tr w:rsidR="00BD33BC" w:rsidRPr="00BD33BC" w:rsidTr="00AA5636">
        <w:trPr>
          <w:trHeight w:val="411"/>
        </w:trPr>
        <w:tc>
          <w:tcPr>
            <w:tcW w:w="198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lastRenderedPageBreak/>
              <w:t xml:space="preserve">LPH </w:t>
            </w:r>
          </w:p>
        </w:tc>
        <w:tc>
          <w:tcPr>
            <w:tcW w:w="666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 xml:space="preserve">Living with pulmonary hypertension </w:t>
            </w:r>
          </w:p>
        </w:tc>
      </w:tr>
      <w:tr w:rsidR="00BD33BC" w:rsidRPr="00BD33BC" w:rsidTr="00AA5636">
        <w:trPr>
          <w:trHeight w:val="411"/>
        </w:trPr>
        <w:tc>
          <w:tcPr>
            <w:tcW w:w="198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LVF</w:t>
            </w:r>
          </w:p>
        </w:tc>
        <w:tc>
          <w:tcPr>
            <w:tcW w:w="666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Left ventricular function</w:t>
            </w:r>
          </w:p>
        </w:tc>
      </w:tr>
      <w:tr w:rsidR="00BD33BC" w:rsidRPr="00BD33BC" w:rsidTr="00AA5636">
        <w:trPr>
          <w:trHeight w:val="411"/>
        </w:trPr>
        <w:tc>
          <w:tcPr>
            <w:tcW w:w="198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MLHF questionnaire</w:t>
            </w:r>
          </w:p>
        </w:tc>
        <w:tc>
          <w:tcPr>
            <w:tcW w:w="666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Minnesota living with heart failure questionnaire</w:t>
            </w:r>
          </w:p>
        </w:tc>
      </w:tr>
      <w:tr w:rsidR="007619B5" w:rsidRPr="009F466A" w:rsidTr="00AA5636">
        <w:trPr>
          <w:trHeight w:val="411"/>
        </w:trPr>
        <w:tc>
          <w:tcPr>
            <w:tcW w:w="1980" w:type="dxa"/>
            <w:tcBorders>
              <w:top w:val="nil"/>
              <w:left w:val="nil"/>
              <w:bottom w:val="nil"/>
              <w:right w:val="nil"/>
            </w:tcBorders>
            <w:vAlign w:val="center"/>
          </w:tcPr>
          <w:p w:rsidR="007619B5" w:rsidRPr="002B1993" w:rsidRDefault="007619B5" w:rsidP="00C21496">
            <w:pPr>
              <w:jc w:val="left"/>
              <w:rPr>
                <w:rFonts w:cs="Arial"/>
                <w:sz w:val="24"/>
                <w:szCs w:val="24"/>
              </w:rPr>
            </w:pPr>
            <w:r w:rsidRPr="002B1993">
              <w:rPr>
                <w:sz w:val="24"/>
                <w:szCs w:val="24"/>
              </w:rPr>
              <w:t>mmHg</w:t>
            </w:r>
          </w:p>
        </w:tc>
        <w:tc>
          <w:tcPr>
            <w:tcW w:w="6660" w:type="dxa"/>
            <w:tcBorders>
              <w:top w:val="nil"/>
              <w:left w:val="nil"/>
              <w:bottom w:val="nil"/>
              <w:right w:val="nil"/>
            </w:tcBorders>
            <w:vAlign w:val="center"/>
          </w:tcPr>
          <w:p w:rsidR="007619B5" w:rsidRPr="002B1993" w:rsidRDefault="007619B5" w:rsidP="00C21496">
            <w:pPr>
              <w:jc w:val="left"/>
              <w:rPr>
                <w:rFonts w:cs="Arial"/>
                <w:sz w:val="24"/>
                <w:szCs w:val="24"/>
              </w:rPr>
            </w:pPr>
            <w:proofErr w:type="spellStart"/>
            <w:r w:rsidRPr="002B1993">
              <w:rPr>
                <w:rFonts w:cs="Arial"/>
                <w:sz w:val="24"/>
                <w:szCs w:val="24"/>
              </w:rPr>
              <w:t>millimeter</w:t>
            </w:r>
            <w:proofErr w:type="spellEnd"/>
            <w:r w:rsidRPr="002B1993">
              <w:rPr>
                <w:rFonts w:cs="Arial"/>
                <w:sz w:val="24"/>
                <w:szCs w:val="24"/>
              </w:rPr>
              <w:t xml:space="preserve"> of mercury</w:t>
            </w:r>
          </w:p>
        </w:tc>
      </w:tr>
      <w:tr w:rsidR="00857CFD" w:rsidRPr="009F466A"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proofErr w:type="spellStart"/>
            <w:r w:rsidRPr="002B1993">
              <w:rPr>
                <w:rFonts w:cs="Arial"/>
                <w:sz w:val="22"/>
              </w:rPr>
              <w:t>mPAP</w:t>
            </w:r>
            <w:proofErr w:type="spellEnd"/>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Mean pulmonary arterial pressure</w:t>
            </w:r>
          </w:p>
        </w:tc>
      </w:tr>
      <w:tr w:rsidR="00857CFD" w:rsidRPr="009F466A"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proofErr w:type="spellStart"/>
            <w:r w:rsidRPr="002B1993">
              <w:rPr>
                <w:rFonts w:cs="Arial"/>
                <w:sz w:val="22"/>
              </w:rPr>
              <w:t>mRAP</w:t>
            </w:r>
            <w:proofErr w:type="spellEnd"/>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Mean right atrial pressure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PAH</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Pulmonary arterial hypertension</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PAH-CHD</w:t>
            </w:r>
          </w:p>
        </w:tc>
        <w:tc>
          <w:tcPr>
            <w:tcW w:w="6660" w:type="dxa"/>
            <w:tcBorders>
              <w:top w:val="nil"/>
              <w:left w:val="nil"/>
              <w:bottom w:val="nil"/>
              <w:right w:val="nil"/>
            </w:tcBorders>
            <w:vAlign w:val="center"/>
          </w:tcPr>
          <w:p w:rsidR="00857CFD" w:rsidRPr="009F466A" w:rsidRDefault="00514D55" w:rsidP="00C21496">
            <w:pPr>
              <w:jc w:val="left"/>
              <w:rPr>
                <w:rFonts w:cs="Arial"/>
                <w:sz w:val="22"/>
              </w:rPr>
            </w:pPr>
            <w:r w:rsidRPr="009F466A">
              <w:rPr>
                <w:rFonts w:cs="Arial"/>
                <w:sz w:val="22"/>
              </w:rPr>
              <w:t>Pulmonary arterial hypertension</w:t>
            </w:r>
            <w:r w:rsidR="00857CFD" w:rsidRPr="009F466A">
              <w:rPr>
                <w:rFonts w:cs="Arial"/>
                <w:sz w:val="22"/>
              </w:rPr>
              <w:t xml:space="preserve"> associated with congenital heart disease</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PAH-CTD</w:t>
            </w:r>
          </w:p>
        </w:tc>
        <w:tc>
          <w:tcPr>
            <w:tcW w:w="6660" w:type="dxa"/>
            <w:tcBorders>
              <w:top w:val="nil"/>
              <w:left w:val="nil"/>
              <w:bottom w:val="nil"/>
              <w:right w:val="nil"/>
            </w:tcBorders>
            <w:vAlign w:val="center"/>
          </w:tcPr>
          <w:p w:rsidR="00857CFD" w:rsidRPr="009F466A" w:rsidRDefault="00514D55" w:rsidP="00C21496">
            <w:pPr>
              <w:jc w:val="left"/>
              <w:rPr>
                <w:rFonts w:cs="Arial"/>
                <w:sz w:val="22"/>
              </w:rPr>
            </w:pPr>
            <w:r w:rsidRPr="009F466A">
              <w:rPr>
                <w:rFonts w:cs="Arial"/>
                <w:sz w:val="22"/>
              </w:rPr>
              <w:t>Pulmonary arterial hypertension</w:t>
            </w:r>
            <w:r w:rsidR="00857CFD" w:rsidRPr="009F466A">
              <w:rPr>
                <w:rFonts w:cs="Arial"/>
                <w:sz w:val="22"/>
              </w:rPr>
              <w:t xml:space="preserve"> associated with connective tissue disease</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PAH-HIV</w:t>
            </w:r>
          </w:p>
        </w:tc>
        <w:tc>
          <w:tcPr>
            <w:tcW w:w="6660" w:type="dxa"/>
            <w:tcBorders>
              <w:top w:val="nil"/>
              <w:left w:val="nil"/>
              <w:bottom w:val="nil"/>
              <w:right w:val="nil"/>
            </w:tcBorders>
            <w:vAlign w:val="center"/>
          </w:tcPr>
          <w:p w:rsidR="00857CFD" w:rsidRPr="009F466A" w:rsidRDefault="00514D55" w:rsidP="00C21496">
            <w:pPr>
              <w:jc w:val="left"/>
              <w:rPr>
                <w:rFonts w:cs="Arial"/>
                <w:sz w:val="22"/>
              </w:rPr>
            </w:pPr>
            <w:r w:rsidRPr="009F466A">
              <w:rPr>
                <w:rFonts w:cs="Arial"/>
                <w:sz w:val="22"/>
              </w:rPr>
              <w:t>Pulmonary arterial hypertension</w:t>
            </w:r>
            <w:r w:rsidR="00857CFD" w:rsidRPr="009F466A">
              <w:rPr>
                <w:rFonts w:cs="Arial"/>
                <w:sz w:val="22"/>
              </w:rPr>
              <w:t xml:space="preserve"> associated with human immunodeficiency virus</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PAH-PH</w:t>
            </w:r>
          </w:p>
        </w:tc>
        <w:tc>
          <w:tcPr>
            <w:tcW w:w="6660" w:type="dxa"/>
            <w:tcBorders>
              <w:top w:val="nil"/>
              <w:left w:val="nil"/>
              <w:bottom w:val="nil"/>
              <w:right w:val="nil"/>
            </w:tcBorders>
            <w:vAlign w:val="center"/>
          </w:tcPr>
          <w:p w:rsidR="00857CFD" w:rsidRPr="009F466A" w:rsidRDefault="00514D55" w:rsidP="00C21496">
            <w:pPr>
              <w:jc w:val="left"/>
              <w:rPr>
                <w:rFonts w:cs="Arial"/>
                <w:sz w:val="22"/>
              </w:rPr>
            </w:pPr>
            <w:r w:rsidRPr="009F466A">
              <w:rPr>
                <w:rFonts w:cs="Arial"/>
                <w:sz w:val="22"/>
              </w:rPr>
              <w:t>Pulmonary arterial hypertension</w:t>
            </w:r>
          </w:p>
        </w:tc>
      </w:tr>
      <w:tr w:rsidR="002B1993" w:rsidRPr="002B1993"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PASP</w:t>
            </w:r>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Pulmonary artery systolic pressure</w:t>
            </w:r>
          </w:p>
        </w:tc>
      </w:tr>
      <w:tr w:rsidR="002B1993" w:rsidRPr="002B1993"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PAP</w:t>
            </w:r>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Pulmonary artery pressure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PBAC</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Pharmaceutical Benefits Advisory Committee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PBS</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Pharmaceutical Benefits Scheme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PDE</w:t>
            </w:r>
            <w:r w:rsidRPr="009F466A">
              <w:rPr>
                <w:rFonts w:cs="Arial"/>
                <w:sz w:val="22"/>
              </w:rPr>
              <w:noBreakHyphen/>
              <w:t>5 inhibitor</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Phosphodiesterase-5 inhibitor</w:t>
            </w:r>
          </w:p>
        </w:tc>
      </w:tr>
      <w:tr w:rsidR="00BD33BC" w:rsidRPr="00BD33BC" w:rsidTr="00AA5636">
        <w:trPr>
          <w:trHeight w:val="411"/>
        </w:trPr>
        <w:tc>
          <w:tcPr>
            <w:tcW w:w="198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PH</w:t>
            </w:r>
          </w:p>
        </w:tc>
        <w:tc>
          <w:tcPr>
            <w:tcW w:w="6660" w:type="dxa"/>
            <w:tcBorders>
              <w:top w:val="nil"/>
              <w:left w:val="nil"/>
              <w:bottom w:val="nil"/>
              <w:right w:val="nil"/>
            </w:tcBorders>
            <w:vAlign w:val="center"/>
          </w:tcPr>
          <w:p w:rsidR="00857CFD" w:rsidRPr="00BD33BC" w:rsidRDefault="00857CFD" w:rsidP="00C21496">
            <w:pPr>
              <w:jc w:val="left"/>
              <w:rPr>
                <w:rFonts w:cs="Arial"/>
                <w:sz w:val="22"/>
              </w:rPr>
            </w:pPr>
            <w:r w:rsidRPr="00BD33BC">
              <w:rPr>
                <w:rFonts w:cs="Arial"/>
                <w:sz w:val="22"/>
              </w:rPr>
              <w:t>Pulmonary hypertension</w:t>
            </w:r>
          </w:p>
        </w:tc>
      </w:tr>
      <w:tr w:rsidR="0017746E" w:rsidRPr="009F466A" w:rsidTr="00AA5636">
        <w:trPr>
          <w:trHeight w:val="411"/>
        </w:trPr>
        <w:tc>
          <w:tcPr>
            <w:tcW w:w="1980" w:type="dxa"/>
            <w:tcBorders>
              <w:top w:val="nil"/>
              <w:left w:val="nil"/>
              <w:bottom w:val="nil"/>
              <w:right w:val="nil"/>
            </w:tcBorders>
            <w:vAlign w:val="center"/>
          </w:tcPr>
          <w:p w:rsidR="0017746E" w:rsidRPr="009F466A" w:rsidRDefault="0017746E" w:rsidP="00C21496">
            <w:pPr>
              <w:jc w:val="left"/>
              <w:rPr>
                <w:rFonts w:cs="Arial"/>
                <w:sz w:val="22"/>
              </w:rPr>
            </w:pPr>
            <w:r w:rsidRPr="009F466A">
              <w:rPr>
                <w:rFonts w:cs="Arial"/>
                <w:sz w:val="22"/>
              </w:rPr>
              <w:t>PHAA</w:t>
            </w:r>
          </w:p>
        </w:tc>
        <w:tc>
          <w:tcPr>
            <w:tcW w:w="6660" w:type="dxa"/>
            <w:tcBorders>
              <w:top w:val="nil"/>
              <w:left w:val="nil"/>
              <w:bottom w:val="nil"/>
              <w:right w:val="nil"/>
            </w:tcBorders>
            <w:vAlign w:val="center"/>
          </w:tcPr>
          <w:p w:rsidR="0017746E" w:rsidRPr="009F466A" w:rsidRDefault="0017746E" w:rsidP="00C21496">
            <w:pPr>
              <w:jc w:val="left"/>
              <w:rPr>
                <w:rFonts w:cs="Arial"/>
                <w:sz w:val="22"/>
              </w:rPr>
            </w:pPr>
            <w:r w:rsidRPr="002B1993">
              <w:rPr>
                <w:rFonts w:cs="Arial"/>
                <w:sz w:val="22"/>
              </w:rPr>
              <w:t>Pulmonary Hypertension Association Australia</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PHSANZ</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Pulmonary Hypertension Society of Australia and New Zealand</w:t>
            </w:r>
          </w:p>
        </w:tc>
      </w:tr>
      <w:tr w:rsidR="002B0137" w:rsidRPr="009F466A" w:rsidTr="00AA5636">
        <w:trPr>
          <w:trHeight w:val="411"/>
        </w:trPr>
        <w:tc>
          <w:tcPr>
            <w:tcW w:w="1980" w:type="dxa"/>
            <w:tcBorders>
              <w:top w:val="nil"/>
              <w:left w:val="nil"/>
              <w:bottom w:val="nil"/>
              <w:right w:val="nil"/>
            </w:tcBorders>
            <w:vAlign w:val="center"/>
          </w:tcPr>
          <w:p w:rsidR="002B0137" w:rsidRPr="009F466A" w:rsidRDefault="002B0137" w:rsidP="00C21496">
            <w:pPr>
              <w:jc w:val="left"/>
              <w:rPr>
                <w:rFonts w:cs="Arial"/>
                <w:sz w:val="22"/>
              </w:rPr>
            </w:pPr>
            <w:r w:rsidRPr="009F466A">
              <w:rPr>
                <w:rFonts w:cs="Arial"/>
                <w:sz w:val="22"/>
              </w:rPr>
              <w:t>Review</w:t>
            </w:r>
          </w:p>
        </w:tc>
        <w:tc>
          <w:tcPr>
            <w:tcW w:w="6660" w:type="dxa"/>
            <w:tcBorders>
              <w:top w:val="nil"/>
              <w:left w:val="nil"/>
              <w:bottom w:val="nil"/>
              <w:right w:val="nil"/>
            </w:tcBorders>
            <w:vAlign w:val="center"/>
          </w:tcPr>
          <w:p w:rsidR="002B0137" w:rsidRPr="009F466A" w:rsidRDefault="002B0137" w:rsidP="00C21496">
            <w:pPr>
              <w:jc w:val="left"/>
              <w:rPr>
                <w:rFonts w:cs="Arial"/>
                <w:sz w:val="22"/>
              </w:rPr>
            </w:pPr>
            <w:r w:rsidRPr="009F466A">
              <w:rPr>
                <w:rFonts w:cs="Arial"/>
                <w:sz w:val="22"/>
              </w:rPr>
              <w:t>Post-market Review</w:t>
            </w:r>
          </w:p>
        </w:tc>
      </w:tr>
      <w:tr w:rsidR="00857CFD" w:rsidRPr="007565FB" w:rsidTr="00AA5636">
        <w:trPr>
          <w:trHeight w:val="411"/>
        </w:trPr>
        <w:tc>
          <w:tcPr>
            <w:tcW w:w="1980" w:type="dxa"/>
            <w:tcBorders>
              <w:top w:val="nil"/>
              <w:left w:val="nil"/>
              <w:bottom w:val="nil"/>
              <w:right w:val="nil"/>
            </w:tcBorders>
            <w:vAlign w:val="center"/>
          </w:tcPr>
          <w:p w:rsidR="00857CFD" w:rsidRPr="007565FB" w:rsidRDefault="00857CFD" w:rsidP="00C21496">
            <w:pPr>
              <w:jc w:val="left"/>
              <w:rPr>
                <w:rFonts w:cs="Arial"/>
                <w:sz w:val="22"/>
              </w:rPr>
            </w:pPr>
            <w:r w:rsidRPr="007565FB">
              <w:rPr>
                <w:rFonts w:cs="Arial"/>
                <w:sz w:val="22"/>
              </w:rPr>
              <w:t>PI</w:t>
            </w:r>
          </w:p>
        </w:tc>
        <w:tc>
          <w:tcPr>
            <w:tcW w:w="6660" w:type="dxa"/>
            <w:tcBorders>
              <w:top w:val="nil"/>
              <w:left w:val="nil"/>
              <w:bottom w:val="nil"/>
              <w:right w:val="nil"/>
            </w:tcBorders>
            <w:vAlign w:val="center"/>
          </w:tcPr>
          <w:p w:rsidR="00857CFD" w:rsidRPr="007565FB" w:rsidRDefault="00857CFD" w:rsidP="00C21496">
            <w:pPr>
              <w:jc w:val="left"/>
              <w:rPr>
                <w:rFonts w:cs="Arial"/>
                <w:sz w:val="22"/>
              </w:rPr>
            </w:pPr>
            <w:r w:rsidRPr="007565FB">
              <w:rPr>
                <w:rFonts w:cs="Arial"/>
                <w:sz w:val="22"/>
              </w:rPr>
              <w:t>Product information</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PICO</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Population, Intervention, Comparator and Outcome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PVR</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Pulmonary vascular resistance</w:t>
            </w:r>
          </w:p>
        </w:tc>
      </w:tr>
      <w:tr w:rsidR="002B1993" w:rsidRPr="002B1993"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QoL</w:t>
            </w:r>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Quality of life</w:t>
            </w:r>
          </w:p>
        </w:tc>
      </w:tr>
      <w:tr w:rsidR="006433E6" w:rsidRPr="009F466A" w:rsidTr="00AA5636">
        <w:trPr>
          <w:trHeight w:val="411"/>
        </w:trPr>
        <w:tc>
          <w:tcPr>
            <w:tcW w:w="1980" w:type="dxa"/>
            <w:tcBorders>
              <w:top w:val="nil"/>
              <w:left w:val="nil"/>
              <w:bottom w:val="nil"/>
              <w:right w:val="nil"/>
            </w:tcBorders>
            <w:vAlign w:val="center"/>
          </w:tcPr>
          <w:p w:rsidR="006433E6" w:rsidRPr="009F466A" w:rsidRDefault="006433E6" w:rsidP="00C21496">
            <w:pPr>
              <w:jc w:val="left"/>
              <w:rPr>
                <w:rFonts w:cs="Arial"/>
                <w:sz w:val="22"/>
              </w:rPr>
            </w:pPr>
            <w:r w:rsidRPr="009F466A">
              <w:rPr>
                <w:rFonts w:cs="Arial"/>
                <w:sz w:val="22"/>
              </w:rPr>
              <w:t>RPBS</w:t>
            </w:r>
          </w:p>
        </w:tc>
        <w:tc>
          <w:tcPr>
            <w:tcW w:w="6660" w:type="dxa"/>
            <w:tcBorders>
              <w:top w:val="nil"/>
              <w:left w:val="nil"/>
              <w:bottom w:val="nil"/>
              <w:right w:val="nil"/>
            </w:tcBorders>
            <w:vAlign w:val="center"/>
          </w:tcPr>
          <w:p w:rsidR="006433E6" w:rsidRPr="009F466A" w:rsidRDefault="006433E6" w:rsidP="00C21496">
            <w:pPr>
              <w:jc w:val="left"/>
              <w:rPr>
                <w:rFonts w:cs="Arial"/>
                <w:sz w:val="22"/>
              </w:rPr>
            </w:pPr>
            <w:r w:rsidRPr="009F466A">
              <w:rPr>
                <w:rFonts w:cs="Arial"/>
                <w:sz w:val="22"/>
              </w:rPr>
              <w:t xml:space="preserve">Repatriation Schedule of Pharmaceutical Benefits </w:t>
            </w:r>
          </w:p>
        </w:tc>
      </w:tr>
      <w:tr w:rsidR="00857CFD" w:rsidRPr="007565FB" w:rsidTr="00AA5636">
        <w:trPr>
          <w:trHeight w:val="411"/>
        </w:trPr>
        <w:tc>
          <w:tcPr>
            <w:tcW w:w="1980" w:type="dxa"/>
            <w:tcBorders>
              <w:top w:val="nil"/>
              <w:left w:val="nil"/>
              <w:bottom w:val="nil"/>
              <w:right w:val="nil"/>
            </w:tcBorders>
            <w:vAlign w:val="center"/>
          </w:tcPr>
          <w:p w:rsidR="00857CFD" w:rsidRPr="007565FB" w:rsidRDefault="00857CFD" w:rsidP="00C21496">
            <w:pPr>
              <w:jc w:val="left"/>
              <w:rPr>
                <w:rFonts w:cs="Arial"/>
                <w:sz w:val="22"/>
              </w:rPr>
            </w:pPr>
            <w:r w:rsidRPr="007565FB">
              <w:rPr>
                <w:rFonts w:cs="Arial"/>
                <w:sz w:val="22"/>
              </w:rPr>
              <w:t>RCT</w:t>
            </w:r>
          </w:p>
        </w:tc>
        <w:tc>
          <w:tcPr>
            <w:tcW w:w="6660" w:type="dxa"/>
            <w:tcBorders>
              <w:top w:val="nil"/>
              <w:left w:val="nil"/>
              <w:bottom w:val="nil"/>
              <w:right w:val="nil"/>
            </w:tcBorders>
            <w:vAlign w:val="center"/>
          </w:tcPr>
          <w:p w:rsidR="00857CFD" w:rsidRPr="007565FB" w:rsidRDefault="00857CFD" w:rsidP="00C21496">
            <w:pPr>
              <w:jc w:val="left"/>
              <w:rPr>
                <w:rFonts w:cs="Arial"/>
                <w:sz w:val="22"/>
              </w:rPr>
            </w:pPr>
            <w:r w:rsidRPr="007565FB">
              <w:rPr>
                <w:rFonts w:cs="Arial"/>
                <w:sz w:val="22"/>
              </w:rPr>
              <w:t>Randomised controlled trial</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RHC</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Right heart catheterisation</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RR</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Relative risk</w:t>
            </w:r>
          </w:p>
        </w:tc>
      </w:tr>
      <w:tr w:rsidR="002B1993" w:rsidRPr="002B1993"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RVSP</w:t>
            </w:r>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Right ventricular systolic pressure</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sGC stimulator</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Soluble guanylate cyclase stimulator</w:t>
            </w:r>
          </w:p>
        </w:tc>
      </w:tr>
      <w:tr w:rsidR="002B1993" w:rsidRPr="002B1993" w:rsidTr="00AA5636">
        <w:trPr>
          <w:trHeight w:val="411"/>
        </w:trPr>
        <w:tc>
          <w:tcPr>
            <w:tcW w:w="1980" w:type="dxa"/>
            <w:tcBorders>
              <w:top w:val="nil"/>
              <w:left w:val="nil"/>
              <w:bottom w:val="nil"/>
              <w:right w:val="nil"/>
            </w:tcBorders>
            <w:vAlign w:val="center"/>
          </w:tcPr>
          <w:p w:rsidR="00857CFD" w:rsidRPr="002B1993" w:rsidRDefault="00857CFD" w:rsidP="00C21496">
            <w:pPr>
              <w:jc w:val="left"/>
              <w:rPr>
                <w:rFonts w:cs="Arial"/>
                <w:sz w:val="22"/>
              </w:rPr>
            </w:pPr>
            <w:proofErr w:type="spellStart"/>
            <w:r w:rsidRPr="002B1993">
              <w:rPr>
                <w:rFonts w:cs="Arial"/>
                <w:sz w:val="22"/>
              </w:rPr>
              <w:t>SmPC</w:t>
            </w:r>
            <w:proofErr w:type="spellEnd"/>
          </w:p>
        </w:tc>
        <w:tc>
          <w:tcPr>
            <w:tcW w:w="6660" w:type="dxa"/>
            <w:tcBorders>
              <w:top w:val="nil"/>
              <w:left w:val="nil"/>
              <w:bottom w:val="nil"/>
              <w:right w:val="nil"/>
            </w:tcBorders>
            <w:vAlign w:val="center"/>
          </w:tcPr>
          <w:p w:rsidR="00857CFD" w:rsidRPr="002B1993" w:rsidRDefault="00857CFD" w:rsidP="00C21496">
            <w:pPr>
              <w:jc w:val="left"/>
              <w:rPr>
                <w:rFonts w:cs="Arial"/>
                <w:sz w:val="22"/>
              </w:rPr>
            </w:pPr>
            <w:r w:rsidRPr="002B1993">
              <w:rPr>
                <w:rFonts w:cs="Arial"/>
                <w:sz w:val="22"/>
              </w:rPr>
              <w:t>European summary of product characteristics</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proofErr w:type="spellStart"/>
            <w:r w:rsidRPr="009F466A">
              <w:rPr>
                <w:rFonts w:cs="Arial"/>
                <w:sz w:val="22"/>
              </w:rPr>
              <w:t>SoC</w:t>
            </w:r>
            <w:proofErr w:type="spellEnd"/>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Standard of care</w:t>
            </w:r>
          </w:p>
        </w:tc>
      </w:tr>
      <w:tr w:rsidR="00857CFD"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lastRenderedPageBreak/>
              <w:t>TGA</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Therapeutic Goods Administration</w:t>
            </w:r>
          </w:p>
        </w:tc>
      </w:tr>
      <w:tr w:rsidR="007619B5" w:rsidRPr="009F466A" w:rsidTr="00AA5636">
        <w:trPr>
          <w:trHeight w:val="411"/>
        </w:trPr>
        <w:tc>
          <w:tcPr>
            <w:tcW w:w="198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ToR</w:t>
            </w:r>
          </w:p>
        </w:tc>
        <w:tc>
          <w:tcPr>
            <w:tcW w:w="6660" w:type="dxa"/>
            <w:tcBorders>
              <w:top w:val="nil"/>
              <w:left w:val="nil"/>
              <w:bottom w:val="nil"/>
              <w:right w:val="nil"/>
            </w:tcBorders>
            <w:vAlign w:val="center"/>
          </w:tcPr>
          <w:p w:rsidR="007619B5" w:rsidRPr="009F466A" w:rsidRDefault="007619B5" w:rsidP="00C21496">
            <w:pPr>
              <w:jc w:val="left"/>
              <w:rPr>
                <w:rFonts w:cs="Arial"/>
                <w:sz w:val="22"/>
              </w:rPr>
            </w:pPr>
            <w:r w:rsidRPr="009F466A">
              <w:rPr>
                <w:rFonts w:cs="Arial"/>
                <w:sz w:val="22"/>
              </w:rPr>
              <w:t>Terms of Reference</w:t>
            </w:r>
          </w:p>
        </w:tc>
      </w:tr>
      <w:tr w:rsidR="006D096A" w:rsidRPr="009F466A" w:rsidTr="00AA5636">
        <w:trPr>
          <w:trHeight w:val="411"/>
        </w:trPr>
        <w:tc>
          <w:tcPr>
            <w:tcW w:w="1980" w:type="dxa"/>
            <w:tcBorders>
              <w:top w:val="nil"/>
              <w:left w:val="nil"/>
              <w:bottom w:val="nil"/>
              <w:right w:val="nil"/>
            </w:tcBorders>
            <w:vAlign w:val="center"/>
          </w:tcPr>
          <w:p w:rsidR="006D096A" w:rsidRPr="006D096A" w:rsidRDefault="006D096A" w:rsidP="00C21496">
            <w:pPr>
              <w:jc w:val="left"/>
              <w:rPr>
                <w:rFonts w:cs="Arial"/>
                <w:sz w:val="22"/>
              </w:rPr>
            </w:pPr>
            <w:r w:rsidRPr="006D096A">
              <w:rPr>
                <w:rFonts w:cs="Arial"/>
                <w:sz w:val="22"/>
              </w:rPr>
              <w:t>TRV</w:t>
            </w:r>
          </w:p>
        </w:tc>
        <w:tc>
          <w:tcPr>
            <w:tcW w:w="6660" w:type="dxa"/>
            <w:tcBorders>
              <w:top w:val="nil"/>
              <w:left w:val="nil"/>
              <w:bottom w:val="nil"/>
              <w:right w:val="nil"/>
            </w:tcBorders>
            <w:vAlign w:val="center"/>
          </w:tcPr>
          <w:p w:rsidR="006D096A" w:rsidRPr="006D096A" w:rsidRDefault="006D096A" w:rsidP="00C21496">
            <w:pPr>
              <w:jc w:val="left"/>
              <w:rPr>
                <w:rFonts w:cs="Arial"/>
                <w:sz w:val="22"/>
              </w:rPr>
            </w:pPr>
            <w:r w:rsidRPr="006D096A">
              <w:rPr>
                <w:rFonts w:cs="Arial"/>
                <w:sz w:val="22"/>
              </w:rPr>
              <w:t>Tricuspid regurgitation velocity</w:t>
            </w:r>
          </w:p>
        </w:tc>
      </w:tr>
      <w:tr w:rsidR="006471C8" w:rsidRPr="009F466A" w:rsidTr="00AA5636">
        <w:trPr>
          <w:trHeight w:val="411"/>
        </w:trPr>
        <w:tc>
          <w:tcPr>
            <w:tcW w:w="198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WHO</w:t>
            </w:r>
          </w:p>
        </w:tc>
        <w:tc>
          <w:tcPr>
            <w:tcW w:w="6660" w:type="dxa"/>
            <w:tcBorders>
              <w:top w:val="nil"/>
              <w:left w:val="nil"/>
              <w:bottom w:val="nil"/>
              <w:right w:val="nil"/>
            </w:tcBorders>
            <w:vAlign w:val="center"/>
          </w:tcPr>
          <w:p w:rsidR="00857CFD" w:rsidRPr="009F466A" w:rsidRDefault="00857CFD" w:rsidP="00C21496">
            <w:pPr>
              <w:jc w:val="left"/>
              <w:rPr>
                <w:rFonts w:cs="Arial"/>
                <w:sz w:val="22"/>
              </w:rPr>
            </w:pPr>
            <w:r w:rsidRPr="009F466A">
              <w:rPr>
                <w:rFonts w:cs="Arial"/>
                <w:sz w:val="22"/>
              </w:rPr>
              <w:t>World Health Organization</w:t>
            </w:r>
          </w:p>
        </w:tc>
      </w:tr>
    </w:tbl>
    <w:p w:rsidR="00AB59A7" w:rsidRPr="00250C50" w:rsidRDefault="00AB59A7" w:rsidP="00C21496">
      <w:pPr>
        <w:jc w:val="left"/>
        <w:rPr>
          <w:rFonts w:eastAsiaTheme="majorEastAsia" w:cstheme="majorBidi"/>
          <w:b/>
          <w:bCs/>
          <w:sz w:val="32"/>
          <w:szCs w:val="32"/>
        </w:rPr>
      </w:pPr>
      <w:r w:rsidRPr="00250C50">
        <w:rPr>
          <w:szCs w:val="32"/>
        </w:rPr>
        <w:br w:type="page"/>
      </w:r>
    </w:p>
    <w:p w:rsidR="00101F92" w:rsidRPr="009F466A" w:rsidRDefault="00101F92" w:rsidP="00C21496">
      <w:pPr>
        <w:pStyle w:val="Heading1"/>
        <w:spacing w:before="480" w:after="240" w:line="240" w:lineRule="auto"/>
        <w:jc w:val="left"/>
        <w:rPr>
          <w:sz w:val="40"/>
          <w:szCs w:val="40"/>
        </w:rPr>
      </w:pPr>
      <w:bookmarkStart w:id="4" w:name="_Toc513110226"/>
      <w:r w:rsidRPr="009F466A">
        <w:rPr>
          <w:sz w:val="40"/>
          <w:szCs w:val="40"/>
        </w:rPr>
        <w:lastRenderedPageBreak/>
        <w:t>Executive Summary</w:t>
      </w:r>
      <w:bookmarkEnd w:id="4"/>
      <w:r w:rsidRPr="009F466A">
        <w:rPr>
          <w:sz w:val="40"/>
          <w:szCs w:val="40"/>
        </w:rPr>
        <w:t xml:space="preserve"> </w:t>
      </w:r>
    </w:p>
    <w:p w:rsidR="00B14CBF" w:rsidRPr="009F466A" w:rsidRDefault="00DE5CA2" w:rsidP="00C21496">
      <w:pPr>
        <w:pStyle w:val="Heading2"/>
        <w:jc w:val="left"/>
      </w:pPr>
      <w:bookmarkStart w:id="5" w:name="_Toc513110227"/>
      <w:r w:rsidRPr="009F466A">
        <w:t>Background and context</w:t>
      </w:r>
      <w:bookmarkEnd w:id="5"/>
    </w:p>
    <w:p w:rsidR="005F4FF9" w:rsidRPr="009F466A" w:rsidRDefault="00A058DA" w:rsidP="00C21496">
      <w:pPr>
        <w:jc w:val="left"/>
      </w:pPr>
      <w:r w:rsidRPr="009F466A">
        <w:t>Pulmonary Arterial Hypertension (PAH) is a rare and debilitating chronic disease of the pulmonary vasculature, characterised by vascular proliferation and remodelling of the small pulmonary arteries. This results in a progressive increase in pulmonary vascular resistance (PVR) that, if not treated, ultimately leads to right h</w:t>
      </w:r>
      <w:r w:rsidR="00FF3B31" w:rsidRPr="009F466A">
        <w:t>eart failure and premature death</w:t>
      </w:r>
      <w:r w:rsidR="00FF3B31" w:rsidRPr="009F466A">
        <w:rPr>
          <w:rStyle w:val="EndnoteReference"/>
        </w:rPr>
        <w:endnoteReference w:id="1"/>
      </w:r>
      <w:r w:rsidRPr="009F466A">
        <w:t xml:space="preserve">. There is no cure for PAH other than lung transplantation. </w:t>
      </w:r>
      <w:r w:rsidR="00406336" w:rsidRPr="009F466A">
        <w:t>Symptoms of PAH include shortness of breath, dizziness, chest pain and fatigue</w:t>
      </w:r>
      <w:r w:rsidR="0078397A" w:rsidRPr="009F466A">
        <w:rPr>
          <w:rStyle w:val="EndnoteReference"/>
        </w:rPr>
        <w:endnoteReference w:id="2"/>
      </w:r>
      <w:r w:rsidR="00406336" w:rsidRPr="009F466A">
        <w:t>.</w:t>
      </w:r>
    </w:p>
    <w:p w:rsidR="005F4FF9" w:rsidRPr="009F466A" w:rsidRDefault="005F4FF9" w:rsidP="00C21496">
      <w:pPr>
        <w:jc w:val="left"/>
      </w:pPr>
      <w:r w:rsidRPr="009F466A">
        <w:t>In Europe, PAH prevalence and incidence are in the range of 15–60 subjects per million population and 5–10 cases per million per year, respectively</w:t>
      </w:r>
      <w:r w:rsidRPr="009F466A">
        <w:rPr>
          <w:rStyle w:val="EndnoteReference"/>
        </w:rPr>
        <w:endnoteReference w:id="3"/>
      </w:r>
      <w:r w:rsidRPr="009F466A">
        <w:t xml:space="preserve">. In February 2015 the Drug Utilisation Subcommittee (DUSC) of the Pharmaceutical Benefits Advisory Committee (PBAC) estimated the prevalent and incident patients receiving PAH treatment as 87.6 and 18.6 per million </w:t>
      </w:r>
      <w:proofErr w:type="gramStart"/>
      <w:r w:rsidRPr="009F466A">
        <w:t>population</w:t>
      </w:r>
      <w:proofErr w:type="gramEnd"/>
      <w:r w:rsidRPr="009F466A">
        <w:t>, respectively</w:t>
      </w:r>
      <w:r w:rsidRPr="009F466A">
        <w:rPr>
          <w:rStyle w:val="EndnoteReference"/>
        </w:rPr>
        <w:endnoteReference w:id="4"/>
      </w:r>
      <w:r w:rsidRPr="009F466A">
        <w:t>.</w:t>
      </w:r>
    </w:p>
    <w:p w:rsidR="005F4FF9" w:rsidRPr="009F466A" w:rsidRDefault="005F4FF9" w:rsidP="00C21496">
      <w:pPr>
        <w:jc w:val="left"/>
      </w:pPr>
      <w:r w:rsidRPr="009F466A">
        <w:t>The clinical severity of PAH is classified according to a system of functional classes (FC) by the World Health Organisation (WHO) for patients with pulmonary hypertension.</w:t>
      </w:r>
    </w:p>
    <w:tbl>
      <w:tblPr>
        <w:tblStyle w:val="TableGrid"/>
        <w:tblW w:w="0" w:type="auto"/>
        <w:tblLook w:val="04A0" w:firstRow="1" w:lastRow="0" w:firstColumn="1" w:lastColumn="0" w:noHBand="0" w:noVBand="1"/>
        <w:tblCaption w:val="Figure ES.1"/>
        <w:tblDescription w:val="WHO functional classes for PAH"/>
      </w:tblPr>
      <w:tblGrid>
        <w:gridCol w:w="9648"/>
      </w:tblGrid>
      <w:tr w:rsidR="005F4FF9" w:rsidRPr="009F466A" w:rsidTr="00FF6202">
        <w:trPr>
          <w:tblHeader/>
        </w:trPr>
        <w:tc>
          <w:tcPr>
            <w:tcW w:w="9648" w:type="dxa"/>
            <w:shd w:val="clear" w:color="auto" w:fill="auto"/>
          </w:tcPr>
          <w:p w:rsidR="005F4FF9" w:rsidRPr="00E35570" w:rsidRDefault="005F4FF9" w:rsidP="00C21496">
            <w:pPr>
              <w:spacing w:before="120" w:after="120"/>
              <w:ind w:left="147" w:right="147"/>
              <w:jc w:val="left"/>
              <w:rPr>
                <w:rFonts w:ascii="Arial" w:eastAsiaTheme="minorHAnsi" w:hAnsi="Arial" w:cs="Arial"/>
              </w:rPr>
            </w:pPr>
            <w:r w:rsidRPr="00E35570">
              <w:rPr>
                <w:rFonts w:ascii="Arial" w:eastAsiaTheme="minorHAnsi" w:hAnsi="Arial" w:cs="Arial"/>
              </w:rPr>
              <w:t>Class I – Patients with pulmonary hypertension but without resulting limitation of physical activity. Ordinary physical activity does not cause undue dyspnoea or fatigue, chest pain or near syncope.</w:t>
            </w:r>
          </w:p>
          <w:p w:rsidR="005F4FF9" w:rsidRPr="00E35570" w:rsidRDefault="005F4FF9" w:rsidP="00C21496">
            <w:pPr>
              <w:spacing w:before="120" w:after="120"/>
              <w:ind w:left="147" w:right="147"/>
              <w:jc w:val="left"/>
              <w:rPr>
                <w:rFonts w:ascii="Arial" w:eastAsiaTheme="minorHAnsi" w:hAnsi="Arial" w:cs="Arial"/>
              </w:rPr>
            </w:pPr>
            <w:r w:rsidRPr="00E35570">
              <w:rPr>
                <w:rFonts w:ascii="Arial" w:eastAsiaTheme="minorHAnsi" w:hAnsi="Arial" w:cs="Arial"/>
              </w:rPr>
              <w:t>Class II – Patients with pulmonary hypertension resulting in slight limitation of physical activity. They are comfortable at rest. Ordinary physical activity causes undue dyspnoea or fatigue, chest pain or near syncope.</w:t>
            </w:r>
          </w:p>
          <w:p w:rsidR="005F4FF9" w:rsidRPr="00E35570" w:rsidRDefault="005F4FF9" w:rsidP="00C21496">
            <w:pPr>
              <w:spacing w:before="120" w:after="120"/>
              <w:ind w:left="147" w:right="147"/>
              <w:jc w:val="left"/>
              <w:rPr>
                <w:rFonts w:ascii="Arial" w:eastAsiaTheme="minorHAnsi" w:hAnsi="Arial" w:cs="Arial"/>
              </w:rPr>
            </w:pPr>
            <w:r w:rsidRPr="00E35570">
              <w:rPr>
                <w:rFonts w:ascii="Arial" w:eastAsiaTheme="minorHAnsi" w:hAnsi="Arial" w:cs="Arial"/>
              </w:rPr>
              <w:t>Class III – Patients with pulmonary hypertension resulting in marked limitation of physical activity. They are comfortable at rest. Less than ordinary activity causes undue dyspnoea or fatigue, chest pain or near syncope.</w:t>
            </w:r>
          </w:p>
          <w:p w:rsidR="005F4FF9" w:rsidRPr="009F466A" w:rsidRDefault="005F4FF9" w:rsidP="00C21496">
            <w:pPr>
              <w:spacing w:before="120" w:after="120"/>
              <w:ind w:left="147" w:right="147"/>
              <w:jc w:val="left"/>
            </w:pPr>
            <w:r w:rsidRPr="00E35570">
              <w:rPr>
                <w:rFonts w:ascii="Arial" w:eastAsiaTheme="minorHAnsi" w:hAnsi="Arial" w:cs="Arial"/>
              </w:rPr>
              <w:t>Class IV – Patients with pulmonary hypertension with inability to carry out any physical activity without symptoms. These patients manifest signs of right heart failure. Dyspnoea and/or fatigue may even be present at rest. Discomfort is increased by any physical activity.</w:t>
            </w:r>
          </w:p>
        </w:tc>
      </w:tr>
    </w:tbl>
    <w:p w:rsidR="00A94DF2" w:rsidRPr="00885751" w:rsidRDefault="00A94DF2" w:rsidP="00C21496">
      <w:pPr>
        <w:spacing w:after="40" w:line="240" w:lineRule="auto"/>
        <w:jc w:val="left"/>
        <w:rPr>
          <w:rFonts w:ascii="Arial" w:hAnsi="Arial" w:cs="Arial"/>
          <w:sz w:val="18"/>
          <w:szCs w:val="18"/>
        </w:rPr>
      </w:pPr>
      <w:r w:rsidRPr="00885751">
        <w:rPr>
          <w:rFonts w:ascii="Arial" w:hAnsi="Arial" w:cs="Arial"/>
          <w:sz w:val="18"/>
          <w:szCs w:val="18"/>
        </w:rPr>
        <w:t xml:space="preserve">Source: </w:t>
      </w:r>
      <w:proofErr w:type="spellStart"/>
      <w:r w:rsidRPr="00885751">
        <w:rPr>
          <w:rFonts w:ascii="Arial" w:hAnsi="Arial" w:cs="Arial"/>
          <w:sz w:val="18"/>
          <w:szCs w:val="18"/>
        </w:rPr>
        <w:t>Galie</w:t>
      </w:r>
      <w:proofErr w:type="spellEnd"/>
      <w:r w:rsidRPr="00885751">
        <w:rPr>
          <w:rFonts w:ascii="Arial" w:hAnsi="Arial" w:cs="Arial"/>
          <w:sz w:val="18"/>
          <w:szCs w:val="18"/>
        </w:rPr>
        <w:t xml:space="preserve"> et al 2015</w:t>
      </w:r>
      <w:r w:rsidRPr="00885751">
        <w:rPr>
          <w:rStyle w:val="EndnoteReference"/>
          <w:rFonts w:ascii="Arial" w:hAnsi="Arial" w:cs="Arial"/>
          <w:sz w:val="18"/>
          <w:szCs w:val="18"/>
        </w:rPr>
        <w:endnoteReference w:id="5"/>
      </w:r>
    </w:p>
    <w:p w:rsidR="005F4FF9" w:rsidRPr="009F466A" w:rsidRDefault="00BC4C2E" w:rsidP="00C21496">
      <w:pPr>
        <w:pStyle w:val="Caption"/>
        <w:spacing w:after="240"/>
        <w:jc w:val="left"/>
        <w:rPr>
          <w:rFonts w:cstheme="minorHAnsi"/>
        </w:rPr>
      </w:pPr>
      <w:bookmarkStart w:id="6" w:name="_Toc513108467"/>
      <w:r>
        <w:t>Figure ES.</w:t>
      </w:r>
      <w:r w:rsidR="00CC79E1">
        <w:rPr>
          <w:noProof/>
        </w:rPr>
        <w:t>1</w:t>
      </w:r>
      <w:r>
        <w:tab/>
        <w:t>WHO functional classes for PAH</w:t>
      </w:r>
      <w:bookmarkEnd w:id="6"/>
    </w:p>
    <w:p w:rsidR="00930609" w:rsidRPr="009F466A" w:rsidRDefault="00930609" w:rsidP="00C21496">
      <w:pPr>
        <w:spacing w:before="120"/>
        <w:jc w:val="left"/>
      </w:pPr>
      <w:r w:rsidRPr="009F466A">
        <w:t xml:space="preserve">PAH medicines belong to four therapeutical classes </w:t>
      </w:r>
      <w:r w:rsidR="00A93450">
        <w:t>based on their mode of action:</w:t>
      </w:r>
    </w:p>
    <w:p w:rsidR="00930609" w:rsidRPr="009F466A" w:rsidRDefault="00930609" w:rsidP="001960CE">
      <w:pPr>
        <w:pStyle w:val="ListParagraph"/>
        <w:numPr>
          <w:ilvl w:val="0"/>
          <w:numId w:val="33"/>
        </w:numPr>
        <w:jc w:val="left"/>
      </w:pPr>
      <w:r w:rsidRPr="009F466A">
        <w:t>Endothelin receptor antagonists (ERA) reverse the effect of endothelin, a substance in the walls of blood vessels that causes them to narrow.</w:t>
      </w:r>
    </w:p>
    <w:p w:rsidR="00930609" w:rsidRPr="009F466A" w:rsidRDefault="00A93450" w:rsidP="001960CE">
      <w:pPr>
        <w:pStyle w:val="ListParagraph"/>
        <w:numPr>
          <w:ilvl w:val="0"/>
          <w:numId w:val="33"/>
        </w:numPr>
        <w:jc w:val="left"/>
      </w:pPr>
      <w:r>
        <w:t>Phosphodiesterase type 5 (PDE-</w:t>
      </w:r>
      <w:r w:rsidR="00930609" w:rsidRPr="009F466A">
        <w:t>5) inhibitors work by opening the blood vessels in the lungs to allow blood to flow through more easily.</w:t>
      </w:r>
    </w:p>
    <w:p w:rsidR="00930609" w:rsidRPr="009F466A" w:rsidRDefault="00930609" w:rsidP="001960CE">
      <w:pPr>
        <w:pStyle w:val="ListParagraph"/>
        <w:numPr>
          <w:ilvl w:val="0"/>
          <w:numId w:val="33"/>
        </w:numPr>
        <w:jc w:val="left"/>
      </w:pPr>
      <w:r w:rsidRPr="009F466A">
        <w:t>Prostacyclin analogues (</w:t>
      </w:r>
      <w:r w:rsidR="00A93450">
        <w:t xml:space="preserve">or </w:t>
      </w:r>
      <w:r w:rsidRPr="009F466A">
        <w:t xml:space="preserve">prostanoids) exert its effects by promoting direct arterial vasodilation and inhibiting platelet aggregation. </w:t>
      </w:r>
    </w:p>
    <w:p w:rsidR="00930609" w:rsidRPr="009F466A" w:rsidRDefault="00930609" w:rsidP="001960CE">
      <w:pPr>
        <w:pStyle w:val="ListParagraph"/>
        <w:numPr>
          <w:ilvl w:val="0"/>
          <w:numId w:val="33"/>
        </w:numPr>
        <w:jc w:val="left"/>
      </w:pPr>
      <w:r w:rsidRPr="009F466A">
        <w:t>Soluble guanylate cyclase (sGC) stimulators interact with nitric oxide and helps relax the pulmonary arteries and lower the pressure within the arteries.</w:t>
      </w:r>
    </w:p>
    <w:p w:rsidR="00930609" w:rsidRPr="009F466A" w:rsidRDefault="00930609" w:rsidP="00C21496">
      <w:pPr>
        <w:jc w:val="left"/>
      </w:pPr>
      <w:r w:rsidRPr="009F466A">
        <w:lastRenderedPageBreak/>
        <w:t>A</w:t>
      </w:r>
      <w:r w:rsidR="00CE72BD" w:rsidRPr="009F466A">
        <w:t xml:space="preserve"> total of eight medicines are listed on the Pharmaceutical Benefits Scheme (PBS) for </w:t>
      </w:r>
      <w:r w:rsidRPr="009F466A">
        <w:t xml:space="preserve">the </w:t>
      </w:r>
      <w:r w:rsidR="00CE72BD" w:rsidRPr="009F466A">
        <w:t>treatment of PAH</w:t>
      </w:r>
      <w:r w:rsidR="009F466A">
        <w:t xml:space="preserve"> as detailed in </w:t>
      </w:r>
      <w:r w:rsidR="00CC79E1">
        <w:t>Table ES.</w:t>
      </w:r>
      <w:r w:rsidR="00CC79E1">
        <w:rPr>
          <w:noProof/>
        </w:rPr>
        <w:t>1</w:t>
      </w:r>
      <w:r w:rsidR="00AA01C1">
        <w:t xml:space="preserve"> </w:t>
      </w:r>
      <w:r w:rsidR="009F466A">
        <w:t>below</w:t>
      </w:r>
      <w:r w:rsidR="00CE72BD" w:rsidRPr="009F466A">
        <w:t>.</w:t>
      </w:r>
    </w:p>
    <w:p w:rsidR="00BC4C2E" w:rsidRDefault="00BC4C2E" w:rsidP="00C21496">
      <w:pPr>
        <w:pStyle w:val="Caption"/>
        <w:jc w:val="left"/>
      </w:pPr>
      <w:bookmarkStart w:id="7" w:name="_Ref511118403"/>
      <w:bookmarkStart w:id="8" w:name="_Toc513108445"/>
      <w:r>
        <w:t>Table ES.</w:t>
      </w:r>
      <w:r w:rsidR="00CC79E1">
        <w:rPr>
          <w:noProof/>
        </w:rPr>
        <w:t>1</w:t>
      </w:r>
      <w:bookmarkEnd w:id="7"/>
      <w:r w:rsidRPr="00BC4C2E">
        <w:t xml:space="preserve"> </w:t>
      </w:r>
      <w:r w:rsidRPr="00BC4C2E">
        <w:tab/>
        <w:t>PBS listed medicines to treat PAH</w:t>
      </w:r>
      <w:bookmarkEnd w:id="8"/>
    </w:p>
    <w:tbl>
      <w:tblPr>
        <w:tblStyle w:val="TableGrid"/>
        <w:tblW w:w="8222" w:type="dxa"/>
        <w:tblInd w:w="108" w:type="dxa"/>
        <w:tblLook w:val="04A0" w:firstRow="1" w:lastRow="0" w:firstColumn="1" w:lastColumn="0" w:noHBand="0" w:noVBand="1"/>
        <w:tblCaption w:val="Table ES.1"/>
        <w:tblDescription w:val="PBS listed medicines to treat PAH"/>
      </w:tblPr>
      <w:tblGrid>
        <w:gridCol w:w="2835"/>
        <w:gridCol w:w="5387"/>
      </w:tblGrid>
      <w:tr w:rsidR="00E21F4D" w:rsidRPr="009F466A" w:rsidTr="00FF6202">
        <w:trPr>
          <w:tblHeader/>
        </w:trPr>
        <w:tc>
          <w:tcPr>
            <w:tcW w:w="2835" w:type="dxa"/>
            <w:tcBorders>
              <w:bottom w:val="single" w:sz="4" w:space="0" w:color="auto"/>
            </w:tcBorders>
            <w:shd w:val="clear" w:color="auto" w:fill="BFBFBF" w:themeFill="background1" w:themeFillShade="BF"/>
          </w:tcPr>
          <w:p w:rsidR="00E21F4D" w:rsidRPr="00A94DF2" w:rsidRDefault="00E21F4D" w:rsidP="001658D7">
            <w:pPr>
              <w:pStyle w:val="05Tabletext"/>
              <w:ind w:left="176"/>
              <w:rPr>
                <w:rFonts w:ascii="Arial" w:hAnsi="Arial" w:cs="Arial"/>
                <w:b/>
                <w:sz w:val="20"/>
                <w:szCs w:val="20"/>
              </w:rPr>
            </w:pPr>
            <w:r w:rsidRPr="00A94DF2">
              <w:rPr>
                <w:rFonts w:ascii="Arial" w:hAnsi="Arial" w:cs="Arial"/>
                <w:b/>
                <w:sz w:val="20"/>
                <w:szCs w:val="20"/>
              </w:rPr>
              <w:t>Medicine Class</w:t>
            </w:r>
          </w:p>
        </w:tc>
        <w:tc>
          <w:tcPr>
            <w:tcW w:w="5387" w:type="dxa"/>
            <w:tcBorders>
              <w:bottom w:val="single" w:sz="4" w:space="0" w:color="auto"/>
            </w:tcBorders>
            <w:shd w:val="clear" w:color="auto" w:fill="BFBFBF" w:themeFill="background1" w:themeFillShade="BF"/>
          </w:tcPr>
          <w:p w:rsidR="00E21F4D" w:rsidRPr="00A94DF2" w:rsidRDefault="00E21F4D" w:rsidP="001658D7">
            <w:pPr>
              <w:pStyle w:val="05Tabletext"/>
              <w:ind w:left="176"/>
              <w:rPr>
                <w:rFonts w:ascii="Arial" w:hAnsi="Arial" w:cs="Arial"/>
                <w:b/>
                <w:sz w:val="20"/>
                <w:szCs w:val="20"/>
              </w:rPr>
            </w:pPr>
            <w:r w:rsidRPr="00A94DF2">
              <w:rPr>
                <w:rFonts w:ascii="Arial" w:hAnsi="Arial" w:cs="Arial"/>
                <w:b/>
                <w:sz w:val="20"/>
                <w:szCs w:val="20"/>
              </w:rPr>
              <w:t>PBS listed medicines (as of 1 January 2018)</w:t>
            </w:r>
          </w:p>
        </w:tc>
      </w:tr>
      <w:tr w:rsidR="00E21F4D" w:rsidRPr="009F466A" w:rsidTr="00D228A6">
        <w:tc>
          <w:tcPr>
            <w:tcW w:w="2835"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ERA</w:t>
            </w:r>
            <w:r w:rsidR="008119F3">
              <w:rPr>
                <w:rFonts w:ascii="Arial" w:hAnsi="Arial" w:cs="Arial"/>
              </w:rPr>
              <w:t>s</w:t>
            </w:r>
          </w:p>
        </w:tc>
        <w:tc>
          <w:tcPr>
            <w:tcW w:w="5387"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bosentan, ambrisentan, macitentan</w:t>
            </w:r>
          </w:p>
        </w:tc>
      </w:tr>
      <w:tr w:rsidR="00E21F4D" w:rsidRPr="009F466A" w:rsidTr="00D228A6">
        <w:tc>
          <w:tcPr>
            <w:tcW w:w="2835"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PDE-5 inhibitors</w:t>
            </w:r>
          </w:p>
        </w:tc>
        <w:tc>
          <w:tcPr>
            <w:tcW w:w="5387"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sildenafil, tadal</w:t>
            </w:r>
            <w:r w:rsidR="001D3EDF" w:rsidRPr="00A94DF2">
              <w:rPr>
                <w:rFonts w:ascii="Arial" w:hAnsi="Arial" w:cs="Arial"/>
              </w:rPr>
              <w:t>a</w:t>
            </w:r>
            <w:r w:rsidRPr="00A94DF2">
              <w:rPr>
                <w:rFonts w:ascii="Arial" w:hAnsi="Arial" w:cs="Arial"/>
              </w:rPr>
              <w:t>fil</w:t>
            </w:r>
          </w:p>
        </w:tc>
      </w:tr>
      <w:tr w:rsidR="00E21F4D" w:rsidRPr="009F466A" w:rsidTr="00D228A6">
        <w:tc>
          <w:tcPr>
            <w:tcW w:w="2835"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prostacyclin analogues</w:t>
            </w:r>
          </w:p>
        </w:tc>
        <w:tc>
          <w:tcPr>
            <w:tcW w:w="5387"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epoprostenol, ilopros</w:t>
            </w:r>
            <w:r w:rsidR="001D3EDF" w:rsidRPr="00A94DF2">
              <w:rPr>
                <w:rFonts w:ascii="Arial" w:hAnsi="Arial" w:cs="Arial"/>
              </w:rPr>
              <w:t>t</w:t>
            </w:r>
          </w:p>
        </w:tc>
      </w:tr>
      <w:tr w:rsidR="00E21F4D" w:rsidRPr="009F466A" w:rsidTr="00D228A6">
        <w:tc>
          <w:tcPr>
            <w:tcW w:w="2835"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sGC stimulators</w:t>
            </w:r>
          </w:p>
        </w:tc>
        <w:tc>
          <w:tcPr>
            <w:tcW w:w="5387" w:type="dxa"/>
            <w:shd w:val="clear" w:color="auto" w:fill="FFFFFF" w:themeFill="background1"/>
          </w:tcPr>
          <w:p w:rsidR="00E21F4D" w:rsidRPr="00A94DF2" w:rsidRDefault="00E21F4D" w:rsidP="001658D7">
            <w:pPr>
              <w:spacing w:before="20" w:afterLines="20" w:after="48"/>
              <w:ind w:left="176"/>
              <w:jc w:val="left"/>
              <w:rPr>
                <w:rFonts w:ascii="Arial" w:hAnsi="Arial" w:cs="Arial"/>
              </w:rPr>
            </w:pPr>
            <w:r w:rsidRPr="00A94DF2">
              <w:rPr>
                <w:rFonts w:ascii="Arial" w:hAnsi="Arial" w:cs="Arial"/>
              </w:rPr>
              <w:t xml:space="preserve">riociguat </w:t>
            </w:r>
          </w:p>
        </w:tc>
      </w:tr>
    </w:tbl>
    <w:p w:rsidR="00930609" w:rsidRPr="009F466A" w:rsidRDefault="0037566F" w:rsidP="00C21496">
      <w:pPr>
        <w:spacing w:before="240"/>
        <w:jc w:val="left"/>
      </w:pPr>
      <w:r w:rsidRPr="009F466A">
        <w:t>The first medicine listed on the PBS for P</w:t>
      </w:r>
      <w:r w:rsidR="00930609" w:rsidRPr="009F466A">
        <w:t xml:space="preserve">AH was bosentan in March 2004. Iloprost, epoprostenol, sildenafil, ambrisentan and tadalafil were listed in the following five years, and macitentan and riociguat were listed </w:t>
      </w:r>
      <w:r w:rsidR="006B7E87">
        <w:t>in 2014 and 2017, respectively.</w:t>
      </w:r>
      <w:r w:rsidR="00930609" w:rsidRPr="009F466A">
        <w:t xml:space="preserve"> PAH medicines are listed by WHO FC and type of PAH.</w:t>
      </w:r>
    </w:p>
    <w:p w:rsidR="005170E1" w:rsidRPr="00D74FB7" w:rsidRDefault="005170E1" w:rsidP="00C21496">
      <w:pPr>
        <w:jc w:val="left"/>
        <w:rPr>
          <w:rStyle w:val="ExSFigureHeaderChar"/>
          <w:rFonts w:asciiTheme="minorHAnsi" w:eastAsiaTheme="minorHAnsi" w:hAnsiTheme="minorHAnsi" w:cstheme="minorBidi"/>
          <w:szCs w:val="22"/>
          <w:lang w:eastAsia="en-AU"/>
        </w:rPr>
      </w:pPr>
      <w:r w:rsidRPr="00D74FB7">
        <w:rPr>
          <w:rStyle w:val="ExSFigureHeaderChar"/>
          <w:rFonts w:asciiTheme="minorHAnsi" w:eastAsiaTheme="minorHAnsi" w:hAnsiTheme="minorHAnsi" w:cstheme="minorBidi"/>
          <w:szCs w:val="22"/>
          <w:lang w:eastAsia="en-AU"/>
        </w:rPr>
        <w:t>Commercial in confidence – Start</w:t>
      </w:r>
    </w:p>
    <w:p w:rsidR="005170E1" w:rsidRPr="00A765F3" w:rsidRDefault="00A765F3" w:rsidP="00250C50">
      <w:pPr>
        <w:spacing w:after="120"/>
        <w:jc w:val="left"/>
        <w:rPr>
          <w:highlight w:val="black"/>
        </w:rPr>
      </w:pPr>
      <w:r>
        <w:rPr>
          <w:rStyle w:val="ExSFigureHeaderChar"/>
          <w:rFonts w:asciiTheme="minorHAnsi" w:eastAsiaTheme="minorHAnsi" w:hAnsiTheme="minorHAnsi" w:cstheme="minorBidi"/>
          <w:b w:val="0"/>
          <w:noProof/>
          <w:color w:val="000000"/>
          <w:szCs w:val="22"/>
          <w:highlight w:val="black"/>
          <w:lang w:eastAsia="en-AU"/>
        </w:rPr>
        <w:t>'''' '''''''''''' ''''''''' ''''''' '''''''' ''' ''''''''''' ''''' '''''' ''''''''''' '''''''''''''''''''' ''' '''''''''''''''''''' '''''' '''''' ''''''' ''''''''''''' ''''' '''''''''''''''''' '''''''' '''''''''' ''''''' '''''' '''''''''''''''''''''''' '''''' '''''''''''' '''' '''''''''''''''''' ''''''''' '''''''''''' '''' '''''''''''''''' '''''''' ''''''''''''''''''''' '''''' ''''''''' '''''''''''''''''''''' '''''''' ''''''' '''''''''''''''''''''' ''''''''''''''''''''''''''''''''''' ''''''''''' '''''''''''' '''''''''''''''''''' '''' '''''' '''''''''''''''''''''' '''''''''' ''''''''''''''' ''''' '''''''''''''''''' '''''''' ''''''''''' '''''''''''' '''''''''' '''' ''''' ''''''' ''''''''' '''' '''''''''''''' '''''' '''''''''''''''''''''''''''''' '''' ''''''''''''''''' '''' ''''''' '''''''''''''''''''' ''''''''''' ''''''''''''' '''''''''''' ''''''''''''''''' ''''''' '''''' ''''''' ''''''''''' '''''''''''''''' '''' ''''''' ''''''''''''''''''''' '''''' ''' '' '''''''''''''''''''''''''''''' '''''''''''''''''''''' ''''''''''''''''' ''''''''''''''''</w:t>
      </w:r>
    </w:p>
    <w:p w:rsidR="005170E1" w:rsidRPr="005170E1" w:rsidRDefault="005170E1" w:rsidP="00C21496">
      <w:pPr>
        <w:jc w:val="left"/>
        <w:rPr>
          <w:rStyle w:val="ExSFigureHeaderChar"/>
          <w:rFonts w:asciiTheme="minorHAnsi" w:eastAsiaTheme="minorHAnsi" w:hAnsiTheme="minorHAnsi" w:cstheme="minorBidi"/>
          <w:b w:val="0"/>
          <w:szCs w:val="22"/>
          <w:lang w:eastAsia="en-AU"/>
        </w:rPr>
      </w:pPr>
      <w:r w:rsidRPr="00D74FB7">
        <w:rPr>
          <w:b/>
        </w:rPr>
        <w:t>Commercial in confidence - End</w:t>
      </w:r>
    </w:p>
    <w:p w:rsidR="00AE7AD5" w:rsidRPr="009F466A" w:rsidRDefault="0037566F" w:rsidP="00C21496">
      <w:pPr>
        <w:spacing w:before="240"/>
        <w:jc w:val="left"/>
      </w:pPr>
      <w:r w:rsidRPr="009F466A">
        <w:t xml:space="preserve">Refer to </w:t>
      </w:r>
      <w:r w:rsidR="00CC79E1">
        <w:t>Figure ES.</w:t>
      </w:r>
      <w:r w:rsidR="00CC79E1">
        <w:rPr>
          <w:noProof/>
        </w:rPr>
        <w:t>2</w:t>
      </w:r>
      <w:r w:rsidR="00AE4F76">
        <w:t xml:space="preserve"> </w:t>
      </w:r>
      <w:r w:rsidRPr="009F466A">
        <w:t>for the details of the PBS listing of PAH medicines.</w:t>
      </w:r>
      <w:bookmarkStart w:id="9" w:name="_Toc486853575"/>
    </w:p>
    <w:p w:rsidR="008C0BAD" w:rsidRDefault="008C0BAD" w:rsidP="00C21496">
      <w:pPr>
        <w:spacing w:before="240"/>
        <w:jc w:val="left"/>
        <w:rPr>
          <w:rStyle w:val="ExSFigureHeaderChar"/>
          <w:rFonts w:asciiTheme="minorHAnsi" w:eastAsiaTheme="minorHAnsi" w:hAnsiTheme="minorHAnsi" w:cstheme="minorBidi"/>
          <w:b w:val="0"/>
          <w:szCs w:val="22"/>
          <w:lang w:eastAsia="en-AU"/>
        </w:rPr>
      </w:pPr>
    </w:p>
    <w:p w:rsidR="008C0BAD" w:rsidRPr="009F466A" w:rsidRDefault="008C0BAD" w:rsidP="00C21496">
      <w:pPr>
        <w:spacing w:before="240"/>
        <w:jc w:val="left"/>
        <w:rPr>
          <w:rStyle w:val="ExSFigureHeaderChar"/>
          <w:rFonts w:asciiTheme="minorHAnsi" w:eastAsiaTheme="minorHAnsi" w:hAnsiTheme="minorHAnsi" w:cstheme="minorBidi"/>
          <w:b w:val="0"/>
          <w:szCs w:val="22"/>
          <w:lang w:eastAsia="en-AU"/>
        </w:rPr>
        <w:sectPr w:rsidR="008C0BAD" w:rsidRPr="009F466A" w:rsidSect="00A67D0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134" w:bottom="1134" w:left="1134" w:header="709" w:footer="709" w:gutter="0"/>
          <w:cols w:space="708"/>
          <w:titlePg/>
          <w:docGrid w:linePitch="360"/>
        </w:sectPr>
      </w:pPr>
    </w:p>
    <w:bookmarkEnd w:id="9"/>
    <w:p w:rsidR="00F04539" w:rsidRPr="009F466A" w:rsidRDefault="0015631D" w:rsidP="009220A4">
      <w:pPr>
        <w:jc w:val="center"/>
        <w:rPr>
          <w:noProof/>
        </w:rPr>
      </w:pPr>
      <w:r>
        <w:rPr>
          <w:noProof/>
        </w:rPr>
        <w:lastRenderedPageBreak/>
        <w:drawing>
          <wp:inline distT="0" distB="0" distL="0" distR="0" wp14:anchorId="1E04AD1F" wp14:editId="347239FB">
            <wp:extent cx="8516679" cy="5653218"/>
            <wp:effectExtent l="0" t="0" r="0" b="5080"/>
            <wp:docPr id="1" name="Picture 1" descr="Timeline of PBAC consideration of PAH medicines and date of PBS listing" title="Figure 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536151" cy="5666143"/>
                    </a:xfrm>
                    <a:prstGeom prst="rect">
                      <a:avLst/>
                    </a:prstGeom>
                  </pic:spPr>
                </pic:pic>
              </a:graphicData>
            </a:graphic>
          </wp:inline>
        </w:drawing>
      </w:r>
    </w:p>
    <w:p w:rsidR="00F04539" w:rsidRPr="00BC4C2E" w:rsidRDefault="004A1130" w:rsidP="00C21496">
      <w:pPr>
        <w:pStyle w:val="Caption"/>
        <w:jc w:val="left"/>
        <w:rPr>
          <w:b w:val="0"/>
          <w:noProof/>
        </w:rPr>
      </w:pPr>
      <w:bookmarkStart w:id="10" w:name="_Ref511118956"/>
      <w:bookmarkStart w:id="11" w:name="_Toc513108468"/>
      <w:r>
        <w:t>Figure ES.</w:t>
      </w:r>
      <w:r w:rsidR="00CC79E1">
        <w:rPr>
          <w:noProof/>
        </w:rPr>
        <w:t>2</w:t>
      </w:r>
      <w:bookmarkEnd w:id="10"/>
      <w:r w:rsidR="00E30026" w:rsidRPr="009F466A">
        <w:rPr>
          <w:rStyle w:val="ExSFigureHeaderChar"/>
          <w:rFonts w:asciiTheme="minorHAnsi" w:hAnsiTheme="minorHAnsi"/>
        </w:rPr>
        <w:tab/>
      </w:r>
      <w:r w:rsidR="00E30026" w:rsidRPr="00E30026">
        <w:rPr>
          <w:rStyle w:val="ExSFigureHeaderChar"/>
          <w:rFonts w:asciiTheme="minorHAnsi" w:hAnsiTheme="minorHAnsi"/>
          <w:b/>
        </w:rPr>
        <w:t>Timeline of PBAC consideration of PAH medicines and date of PBS listing</w:t>
      </w:r>
      <w:bookmarkEnd w:id="11"/>
    </w:p>
    <w:p w:rsidR="00F04539" w:rsidRPr="009F466A" w:rsidRDefault="00F04539" w:rsidP="00C21496">
      <w:pPr>
        <w:keepNext/>
        <w:jc w:val="left"/>
        <w:rPr>
          <w:noProof/>
        </w:rPr>
        <w:sectPr w:rsidR="00F04539" w:rsidRPr="009F466A" w:rsidSect="00AE7AD5">
          <w:pgSz w:w="16838" w:h="11906" w:orient="landscape"/>
          <w:pgMar w:top="1134" w:right="1134" w:bottom="1134" w:left="1134" w:header="709" w:footer="709" w:gutter="0"/>
          <w:cols w:space="708"/>
          <w:titlePg/>
          <w:docGrid w:linePitch="360"/>
        </w:sectPr>
      </w:pPr>
    </w:p>
    <w:p w:rsidR="000D735B" w:rsidRPr="000D735B" w:rsidRDefault="000D735B" w:rsidP="00C21496">
      <w:pPr>
        <w:pStyle w:val="BodyTextnospacebefore"/>
        <w:jc w:val="left"/>
      </w:pPr>
      <w:r w:rsidRPr="000D735B">
        <w:lastRenderedPageBreak/>
        <w:t>In 2013, the Pulmonary Hypertension Society of Australia and New Zealand (PHSANZ) requested changes to the then current PBS restrictions for PAH medicines. At its November 2013 meeting, the PBAC considered that “such changes would all require consultation from sponsors and most would require evidence-based submissions regarding maintenance of acceptable cost-effectiveness”. PBAC also noted that requests to make PAH medicines available for patients with World Health Organization Functional Class II (WHO FC II) disease or for use as part of combination therapy would require a submission to be made to the PBAC, with evidence demonstrating the comparative clinical effectiveness and safety and cost-effectiveness of therapy in such circumstances.</w:t>
      </w:r>
    </w:p>
    <w:p w:rsidR="000D735B" w:rsidRPr="003314AE" w:rsidRDefault="000D735B" w:rsidP="00C21496">
      <w:pPr>
        <w:pStyle w:val="BodyTextnospacebefore"/>
        <w:jc w:val="left"/>
      </w:pPr>
      <w:r w:rsidRPr="003314AE">
        <w:t xml:space="preserve">In </w:t>
      </w:r>
      <w:r>
        <w:t xml:space="preserve">March </w:t>
      </w:r>
      <w:r w:rsidRPr="003314AE">
        <w:t xml:space="preserve">2014, </w:t>
      </w:r>
      <w:r>
        <w:t>when</w:t>
      </w:r>
      <w:r w:rsidRPr="003314AE">
        <w:t xml:space="preserve"> considering the submission for macitentan, the PBAC noted that “the PBS restrictions for the PAH agents have not been updated for some time and note that terminology and clinical guidelines have since changed”. The PBAC recommended that the restrictions for the PAH medicines be reviewed to reflect current clinical guidelines on the proviso that the resultant change does not create any additional expenditure for the Commonwealth.</w:t>
      </w:r>
    </w:p>
    <w:p w:rsidR="00DA1833" w:rsidRPr="009F466A" w:rsidRDefault="00DA1833" w:rsidP="00C21496">
      <w:pPr>
        <w:pStyle w:val="BodyTextnospacebefore"/>
        <w:jc w:val="left"/>
      </w:pPr>
      <w:r w:rsidRPr="009F466A">
        <w:t>In February 2015 the DUSC conducted a PAH medicines utilisation analysis. The DUSC considered that the PBS restrictions for PAH medicines were not consistent with current treatment guidelines in that:</w:t>
      </w:r>
    </w:p>
    <w:p w:rsidR="00DA1833" w:rsidRPr="009F466A" w:rsidRDefault="00DA1833" w:rsidP="00C21496">
      <w:pPr>
        <w:pStyle w:val="BodyText"/>
        <w:numPr>
          <w:ilvl w:val="0"/>
          <w:numId w:val="8"/>
        </w:numPr>
        <w:spacing w:after="0"/>
        <w:jc w:val="left"/>
      </w:pPr>
      <w:r w:rsidRPr="009F466A">
        <w:t xml:space="preserve">It required failure to respond to 6 or more weeks of appropriate vasodilator treatment for WHO FC III patients with a mean right atrial pressure of 8 </w:t>
      </w:r>
      <w:r w:rsidR="00F04539" w:rsidRPr="009F466A">
        <w:t>millimetre</w:t>
      </w:r>
      <w:r w:rsidR="007619B5" w:rsidRPr="009F466A">
        <w:t xml:space="preserve"> of mercury (</w:t>
      </w:r>
      <w:r w:rsidRPr="009F466A">
        <w:t>mmHg</w:t>
      </w:r>
      <w:r w:rsidR="007619B5" w:rsidRPr="009F466A">
        <w:t>)</w:t>
      </w:r>
      <w:r w:rsidRPr="009F466A">
        <w:t xml:space="preserve"> or less;</w:t>
      </w:r>
    </w:p>
    <w:p w:rsidR="00DA1833" w:rsidRPr="009F466A" w:rsidRDefault="00DA1833" w:rsidP="00C21496">
      <w:pPr>
        <w:pStyle w:val="BodyText"/>
        <w:numPr>
          <w:ilvl w:val="0"/>
          <w:numId w:val="8"/>
        </w:numPr>
        <w:spacing w:after="0"/>
        <w:ind w:left="357" w:hanging="357"/>
        <w:jc w:val="left"/>
      </w:pPr>
      <w:r w:rsidRPr="009F466A">
        <w:t>It did not allow treatment of WHO FC II patients; and</w:t>
      </w:r>
    </w:p>
    <w:p w:rsidR="00DA1833" w:rsidRPr="00775885" w:rsidRDefault="00DA1833" w:rsidP="00C21496">
      <w:pPr>
        <w:pStyle w:val="BodyText"/>
        <w:numPr>
          <w:ilvl w:val="0"/>
          <w:numId w:val="8"/>
        </w:numPr>
        <w:shd w:val="clear" w:color="auto" w:fill="FFFFFF" w:themeFill="background1"/>
        <w:ind w:left="357" w:hanging="357"/>
        <w:jc w:val="left"/>
      </w:pPr>
      <w:r w:rsidRPr="00775885">
        <w:t>It did not allow combination therapy.</w:t>
      </w:r>
    </w:p>
    <w:p w:rsidR="00A307BF" w:rsidRPr="009F466A" w:rsidRDefault="002B0137" w:rsidP="00C21496">
      <w:pPr>
        <w:pStyle w:val="BodyText"/>
        <w:shd w:val="clear" w:color="auto" w:fill="FFFFFF" w:themeFill="background1"/>
        <w:jc w:val="left"/>
      </w:pPr>
      <w:r w:rsidRPr="00775885">
        <w:t>In July 2015, the PBAC considered</w:t>
      </w:r>
      <w:r w:rsidR="00A307BF" w:rsidRPr="00775885">
        <w:t xml:space="preserve"> a submission from </w:t>
      </w:r>
      <w:r w:rsidR="0025194B" w:rsidRPr="00775885">
        <w:t>the</w:t>
      </w:r>
      <w:r w:rsidR="00A307BF" w:rsidRPr="00775885">
        <w:t xml:space="preserve"> sponsor which identified concerns that the PBS restrictions for PAH medicines are not consistent with currently treatment guidelines and best practice</w:t>
      </w:r>
      <w:r w:rsidRPr="00775885">
        <w:t>. T</w:t>
      </w:r>
      <w:r w:rsidR="00A307BF" w:rsidRPr="00775885">
        <w:t>he PBAC recommended</w:t>
      </w:r>
      <w:r w:rsidRPr="00775885">
        <w:t xml:space="preserve"> to the Minister for Health that</w:t>
      </w:r>
      <w:r w:rsidR="00A307BF" w:rsidRPr="00775885">
        <w:t xml:space="preserve"> a post-</w:t>
      </w:r>
      <w:r w:rsidR="00A307BF" w:rsidRPr="009F466A">
        <w:t xml:space="preserve">market review </w:t>
      </w:r>
      <w:r w:rsidRPr="009F466A">
        <w:t>(Review) be undertaken on</w:t>
      </w:r>
      <w:r w:rsidR="00A307BF" w:rsidRPr="009F466A">
        <w:t xml:space="preserve"> the efficacy and cost</w:t>
      </w:r>
      <w:r w:rsidR="00A307BF" w:rsidRPr="009F466A">
        <w:rPr>
          <w:rFonts w:ascii="MS Gothic" w:eastAsia="MS Gothic" w:hAnsi="MS Gothic" w:cs="MS Gothic" w:hint="eastAsia"/>
        </w:rPr>
        <w:t>‑</w:t>
      </w:r>
      <w:r w:rsidR="00A307BF" w:rsidRPr="009F466A">
        <w:t>effectiveness of PAH medicines</w:t>
      </w:r>
      <w:r w:rsidRPr="009F466A">
        <w:t>, including the existing listing for class III and class IV patients, and the additional clinical place of these therapies as recommended in international guidelines.</w:t>
      </w:r>
    </w:p>
    <w:p w:rsidR="00A307BF" w:rsidRPr="009F466A" w:rsidRDefault="002B0137" w:rsidP="00C21496">
      <w:pPr>
        <w:pStyle w:val="BodyText"/>
        <w:jc w:val="left"/>
      </w:pPr>
      <w:r w:rsidRPr="009F466A">
        <w:t xml:space="preserve">The Review has the overall aim of </w:t>
      </w:r>
      <w:r w:rsidR="00200248" w:rsidRPr="009F466A">
        <w:t>review</w:t>
      </w:r>
      <w:r w:rsidRPr="009F466A">
        <w:t>ing</w:t>
      </w:r>
      <w:r w:rsidR="00200248" w:rsidRPr="009F466A">
        <w:t xml:space="preserve"> the safety, efficacy and cost-effectiveness of PBS-listed </w:t>
      </w:r>
      <w:r w:rsidR="006E25F4" w:rsidRPr="009F466A">
        <w:t xml:space="preserve">PAH </w:t>
      </w:r>
      <w:r w:rsidR="00200248" w:rsidRPr="009F466A">
        <w:t xml:space="preserve">medicines in the context of </w:t>
      </w:r>
      <w:r w:rsidR="00A307BF" w:rsidRPr="009F466A">
        <w:t>q</w:t>
      </w:r>
      <w:r w:rsidR="00200248" w:rsidRPr="009F466A">
        <w:t xml:space="preserve">uality </w:t>
      </w:r>
      <w:r w:rsidR="00A307BF" w:rsidRPr="009F466A">
        <w:t>u</w:t>
      </w:r>
      <w:r w:rsidR="00200248" w:rsidRPr="009F466A">
        <w:t xml:space="preserve">se of </w:t>
      </w:r>
      <w:r w:rsidR="00A307BF" w:rsidRPr="009F466A">
        <w:t>m</w:t>
      </w:r>
      <w:r w:rsidR="00200248" w:rsidRPr="009F466A">
        <w:t xml:space="preserve">edicines and patient access to optimal treatment. </w:t>
      </w:r>
    </w:p>
    <w:p w:rsidR="00DA1833" w:rsidRPr="009F466A" w:rsidRDefault="00DA1833" w:rsidP="00C21496">
      <w:pPr>
        <w:pStyle w:val="BodyText"/>
        <w:jc w:val="left"/>
      </w:pPr>
      <w:r w:rsidRPr="009F466A">
        <w:t xml:space="preserve">The draft </w:t>
      </w:r>
      <w:r w:rsidR="002B0137" w:rsidRPr="009F466A">
        <w:t>Terms of Reference (</w:t>
      </w:r>
      <w:r w:rsidR="007619B5" w:rsidRPr="009F466A">
        <w:t>ToR</w:t>
      </w:r>
      <w:r w:rsidR="002B0137" w:rsidRPr="009F466A">
        <w:t>)</w:t>
      </w:r>
      <w:r w:rsidRPr="009F466A">
        <w:t xml:space="preserve"> were provided for public consultation between </w:t>
      </w:r>
      <w:r w:rsidR="007F3002" w:rsidRPr="009F466A">
        <w:t>2 May and 16 May </w:t>
      </w:r>
      <w:r w:rsidR="0037156A" w:rsidRPr="009F466A">
        <w:t>2016</w:t>
      </w:r>
      <w:r w:rsidRPr="009F466A">
        <w:t xml:space="preserve">. The PBAC considered the draft Review ToR and comments from stakeholders at the </w:t>
      </w:r>
      <w:r w:rsidR="0037156A" w:rsidRPr="009F466A">
        <w:t>August 2016</w:t>
      </w:r>
      <w:r w:rsidRPr="009F466A">
        <w:t xml:space="preserve"> PBAC meeting. The Minister for Health approved the final ToR for the Review</w:t>
      </w:r>
      <w:r w:rsidR="007F3002" w:rsidRPr="009F466A">
        <w:t xml:space="preserve"> in December </w:t>
      </w:r>
      <w:r w:rsidR="0037156A" w:rsidRPr="009F466A">
        <w:t>2016</w:t>
      </w:r>
      <w:r w:rsidRPr="009F466A">
        <w:t>.</w:t>
      </w:r>
    </w:p>
    <w:p w:rsidR="00DE5CA2" w:rsidRPr="009F466A" w:rsidRDefault="00DE5CA2" w:rsidP="003B577F">
      <w:pPr>
        <w:pStyle w:val="Heading3"/>
      </w:pPr>
      <w:bookmarkStart w:id="12" w:name="_Toc513110228"/>
      <w:r w:rsidRPr="009F466A">
        <w:lastRenderedPageBreak/>
        <w:t>Review Terms of Reference</w:t>
      </w:r>
      <w:bookmarkEnd w:id="12"/>
      <w:r w:rsidRPr="009F466A">
        <w:t xml:space="preserve"> </w:t>
      </w:r>
    </w:p>
    <w:p w:rsidR="002B0137" w:rsidRPr="009F466A" w:rsidRDefault="002B0137" w:rsidP="00C21496">
      <w:pPr>
        <w:jc w:val="left"/>
      </w:pPr>
      <w:r w:rsidRPr="009F466A">
        <w:t xml:space="preserve">The PMR of </w:t>
      </w:r>
      <w:r w:rsidR="00C11611" w:rsidRPr="009F466A">
        <w:t>PAH M</w:t>
      </w:r>
      <w:r w:rsidRPr="009F466A">
        <w:t>edicines consists of five ToR. This report addresses the first four in full and introduces ToR 5.</w:t>
      </w:r>
    </w:p>
    <w:p w:rsidR="00F67DB0" w:rsidRPr="009F466A" w:rsidRDefault="006570C4" w:rsidP="00C21496">
      <w:pPr>
        <w:pStyle w:val="ListParagraph"/>
        <w:numPr>
          <w:ilvl w:val="0"/>
          <w:numId w:val="9"/>
        </w:numPr>
        <w:spacing w:after="0"/>
        <w:ind w:left="426" w:hanging="426"/>
        <w:jc w:val="left"/>
        <w:rPr>
          <w:szCs w:val="24"/>
        </w:rPr>
      </w:pPr>
      <w:r w:rsidRPr="009F466A">
        <w:rPr>
          <w:szCs w:val="24"/>
        </w:rPr>
        <w:t>Review recent clinical guidelines for the management of PAH and compare this to the PBS restrictions and Therapeutic Goods Administration (TGA) indications for the use of PAH medicines.</w:t>
      </w:r>
    </w:p>
    <w:p w:rsidR="00C7642B" w:rsidRPr="009F466A" w:rsidRDefault="006570C4" w:rsidP="00C21496">
      <w:pPr>
        <w:pStyle w:val="ListParagraph"/>
        <w:numPr>
          <w:ilvl w:val="0"/>
          <w:numId w:val="9"/>
        </w:numPr>
        <w:spacing w:after="0"/>
        <w:ind w:left="426" w:hanging="426"/>
        <w:jc w:val="left"/>
        <w:rPr>
          <w:szCs w:val="24"/>
        </w:rPr>
      </w:pPr>
      <w:r w:rsidRPr="009F466A">
        <w:rPr>
          <w:szCs w:val="24"/>
        </w:rPr>
        <w:t>Review the utilisation of PAH medicines in Australia, including sources of data that can provide additional information on clinical use that is not available from PBS data.</w:t>
      </w:r>
    </w:p>
    <w:p w:rsidR="006570C4" w:rsidRPr="009F466A" w:rsidRDefault="006570C4" w:rsidP="00C21496">
      <w:pPr>
        <w:pStyle w:val="ListParagraph"/>
        <w:numPr>
          <w:ilvl w:val="0"/>
          <w:numId w:val="9"/>
        </w:numPr>
        <w:spacing w:after="0"/>
        <w:ind w:left="426" w:hanging="426"/>
        <w:jc w:val="left"/>
        <w:rPr>
          <w:szCs w:val="24"/>
        </w:rPr>
      </w:pPr>
      <w:r w:rsidRPr="009F466A">
        <w:rPr>
          <w:szCs w:val="24"/>
        </w:rPr>
        <w:t>Review the clinical outcomes that are most important or clinically relevant to patients with PAH, and the extent to which these outcomes are included in the evidence</w:t>
      </w:r>
      <w:r w:rsidR="00D23B93" w:rsidRPr="009F466A">
        <w:rPr>
          <w:szCs w:val="24"/>
        </w:rPr>
        <w:t xml:space="preserve"> previously considered by PBAC.</w:t>
      </w:r>
    </w:p>
    <w:p w:rsidR="006570C4" w:rsidRPr="009F466A" w:rsidRDefault="006570C4" w:rsidP="00C21496">
      <w:pPr>
        <w:pStyle w:val="ListParagraph"/>
        <w:numPr>
          <w:ilvl w:val="0"/>
          <w:numId w:val="9"/>
        </w:numPr>
        <w:spacing w:after="0"/>
        <w:ind w:left="426" w:hanging="426"/>
        <w:jc w:val="left"/>
        <w:rPr>
          <w:szCs w:val="24"/>
        </w:rPr>
      </w:pPr>
      <w:r w:rsidRPr="009F466A">
        <w:rPr>
          <w:szCs w:val="24"/>
        </w:rPr>
        <w:t xml:space="preserve">Collate and evaluate evidence on the comparative effectiveness of PAH medicines, including combination use and use in the WHO </w:t>
      </w:r>
      <w:r w:rsidR="007619B5" w:rsidRPr="009F466A">
        <w:rPr>
          <w:szCs w:val="24"/>
        </w:rPr>
        <w:t>FC</w:t>
      </w:r>
      <w:r w:rsidRPr="009F466A">
        <w:rPr>
          <w:szCs w:val="24"/>
        </w:rPr>
        <w:t xml:space="preserve"> II patient populations.</w:t>
      </w:r>
    </w:p>
    <w:p w:rsidR="006570C4" w:rsidRPr="009F466A" w:rsidRDefault="006570C4" w:rsidP="00C21496">
      <w:pPr>
        <w:pStyle w:val="ListParagraph"/>
        <w:numPr>
          <w:ilvl w:val="0"/>
          <w:numId w:val="9"/>
        </w:numPr>
        <w:spacing w:after="0"/>
        <w:ind w:left="426" w:hanging="426"/>
        <w:jc w:val="left"/>
        <w:rPr>
          <w:szCs w:val="24"/>
        </w:rPr>
      </w:pPr>
      <w:r w:rsidRPr="009F466A">
        <w:rPr>
          <w:szCs w:val="24"/>
        </w:rPr>
        <w:t xml:space="preserve">Following ToR 1-4 consider reviewing the cost-effectiveness of existing PBS listings for PAH medicines, and in treatment of WHO </w:t>
      </w:r>
      <w:r w:rsidR="007619B5" w:rsidRPr="009F466A">
        <w:rPr>
          <w:szCs w:val="24"/>
        </w:rPr>
        <w:t>FC</w:t>
      </w:r>
      <w:r w:rsidRPr="009F466A">
        <w:rPr>
          <w:szCs w:val="24"/>
        </w:rPr>
        <w:t xml:space="preserve"> II and combination treatment in class III and class IV patients</w:t>
      </w:r>
      <w:r w:rsidR="00775885">
        <w:rPr>
          <w:szCs w:val="24"/>
        </w:rPr>
        <w:t xml:space="preserve"> (possible future report)</w:t>
      </w:r>
      <w:r w:rsidRPr="009F466A">
        <w:rPr>
          <w:szCs w:val="24"/>
        </w:rPr>
        <w:t>.</w:t>
      </w:r>
    </w:p>
    <w:p w:rsidR="00DE5CA2" w:rsidRPr="009F466A" w:rsidRDefault="00DE5CA2" w:rsidP="003B577F">
      <w:pPr>
        <w:pStyle w:val="Heading3"/>
      </w:pPr>
      <w:bookmarkStart w:id="13" w:name="_Toc486853472"/>
      <w:bookmarkStart w:id="14" w:name="_Toc513110229"/>
      <w:r w:rsidRPr="009F466A">
        <w:t>Methodological approach to the technical report</w:t>
      </w:r>
      <w:bookmarkEnd w:id="13"/>
      <w:bookmarkEnd w:id="14"/>
    </w:p>
    <w:p w:rsidR="00DE5CA2" w:rsidRPr="009F466A" w:rsidRDefault="00DE5CA2" w:rsidP="00C21496">
      <w:pPr>
        <w:jc w:val="left"/>
      </w:pPr>
      <w:r w:rsidRPr="009F466A">
        <w:t>A Reference Group (RG), the University of Adelaide and the University of New South Wales were involved in the preparation of this draft technical report for the PAH Review.</w:t>
      </w:r>
      <w:r w:rsidR="00406336" w:rsidRPr="009F466A">
        <w:t xml:space="preserve"> </w:t>
      </w:r>
      <w:r w:rsidRPr="009F466A">
        <w:t>Research questions relating to the ToR were developed to guide the review (refer to Background), and approved by the RG Chair. The ToR were addressed through specific reviews of evidence for medicines, gui</w:t>
      </w:r>
      <w:r w:rsidR="00B772FC" w:rsidRPr="009F466A">
        <w:t>delines and</w:t>
      </w:r>
      <w:r w:rsidR="00AA01C1">
        <w:t xml:space="preserve"> utilisation (refer to </w:t>
      </w:r>
      <w:r w:rsidR="00CC79E1" w:rsidRPr="00A94DF2">
        <w:t>Table ES.</w:t>
      </w:r>
      <w:r w:rsidR="00CC79E1">
        <w:rPr>
          <w:noProof/>
        </w:rPr>
        <w:t>2</w:t>
      </w:r>
      <w:r w:rsidR="00AA01C1">
        <w:t xml:space="preserve"> </w:t>
      </w:r>
      <w:r w:rsidRPr="009F466A">
        <w:t>and</w:t>
      </w:r>
      <w:r w:rsidR="00AA01C1">
        <w:t xml:space="preserve"> </w:t>
      </w:r>
      <w:r w:rsidR="00CC79E1" w:rsidRPr="00A94DF2">
        <w:t>Table ES.</w:t>
      </w:r>
      <w:r w:rsidR="00CC79E1">
        <w:rPr>
          <w:noProof/>
        </w:rPr>
        <w:t>3</w:t>
      </w:r>
      <w:r w:rsidRPr="009F466A">
        <w:t>).</w:t>
      </w:r>
      <w:r w:rsidR="00B772FC" w:rsidRPr="009F466A">
        <w:t xml:space="preserve"> The PHSANZ and The Australian Scleroderma Interest</w:t>
      </w:r>
      <w:r w:rsidR="00953B36">
        <w:t xml:space="preserve"> Group</w:t>
      </w:r>
      <w:r w:rsidR="00B772FC" w:rsidRPr="009F466A">
        <w:t xml:space="preserve"> (ASIG) </w:t>
      </w:r>
      <w:r w:rsidR="008122BD" w:rsidRPr="009F466A">
        <w:t>provided information on medicine regimes based on their respective patient registries.</w:t>
      </w:r>
    </w:p>
    <w:p w:rsidR="00E30026" w:rsidRPr="00A94DF2" w:rsidRDefault="00E30026" w:rsidP="00C21496">
      <w:pPr>
        <w:pStyle w:val="Caption"/>
        <w:jc w:val="left"/>
      </w:pPr>
      <w:bookmarkStart w:id="15" w:name="_Ref511118424"/>
      <w:bookmarkStart w:id="16" w:name="_Toc513108446"/>
      <w:r w:rsidRPr="00A94DF2">
        <w:t>Table ES.</w:t>
      </w:r>
      <w:r w:rsidR="00CC79E1">
        <w:rPr>
          <w:noProof/>
        </w:rPr>
        <w:t>2</w:t>
      </w:r>
      <w:bookmarkEnd w:id="15"/>
      <w:r w:rsidRPr="00A94DF2">
        <w:t xml:space="preserve"> </w:t>
      </w:r>
      <w:r w:rsidRPr="00A94DF2">
        <w:tab/>
        <w:t>Methodological approaches to ToR 1, ToR 3, ToR 4 and ToR 5</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479"/>
        <w:gridCol w:w="3602"/>
      </w:tblGrid>
      <w:tr w:rsidR="00D228A6" w:rsidRPr="00D228A6" w:rsidTr="00D228A6">
        <w:trPr>
          <w:cantSplit/>
          <w:tblHeader/>
        </w:trPr>
        <w:tc>
          <w:tcPr>
            <w:tcW w:w="3017" w:type="pct"/>
            <w:shd w:val="clear" w:color="auto" w:fill="BFBFBF" w:themeFill="background1" w:themeFillShade="BF"/>
          </w:tcPr>
          <w:p w:rsidR="00AD689E" w:rsidRPr="00D228A6" w:rsidRDefault="00AD689E" w:rsidP="00C21496">
            <w:pPr>
              <w:pStyle w:val="01TableHEADINGleftaligned"/>
              <w:keepLines/>
              <w:rPr>
                <w:rFonts w:ascii="Arial" w:hAnsi="Arial" w:cs="Arial"/>
                <w:sz w:val="20"/>
                <w:szCs w:val="20"/>
              </w:rPr>
            </w:pPr>
            <w:r w:rsidRPr="00D228A6">
              <w:rPr>
                <w:rFonts w:ascii="Arial" w:hAnsi="Arial" w:cs="Arial"/>
                <w:sz w:val="20"/>
                <w:szCs w:val="20"/>
              </w:rPr>
              <w:t>Methodological approach</w:t>
            </w:r>
          </w:p>
        </w:tc>
        <w:tc>
          <w:tcPr>
            <w:tcW w:w="1983" w:type="pct"/>
            <w:shd w:val="clear" w:color="auto" w:fill="BFBFBF" w:themeFill="background1" w:themeFillShade="BF"/>
          </w:tcPr>
          <w:p w:rsidR="00AD689E" w:rsidRPr="00D228A6" w:rsidRDefault="00AD689E" w:rsidP="00C21496">
            <w:pPr>
              <w:pStyle w:val="01TableHEADINGleftaligned"/>
              <w:keepLines/>
              <w:rPr>
                <w:rFonts w:ascii="Arial" w:hAnsi="Arial" w:cs="Arial"/>
                <w:sz w:val="20"/>
                <w:szCs w:val="20"/>
              </w:rPr>
            </w:pPr>
            <w:r w:rsidRPr="00D228A6">
              <w:rPr>
                <w:rFonts w:ascii="Arial" w:hAnsi="Arial" w:cs="Arial"/>
                <w:sz w:val="20"/>
                <w:szCs w:val="20"/>
              </w:rPr>
              <w:t>Criteria and time period</w:t>
            </w:r>
          </w:p>
        </w:tc>
      </w:tr>
      <w:tr w:rsidR="00D228A6" w:rsidRPr="00D228A6" w:rsidTr="00D228A6">
        <w:trPr>
          <w:cantSplit/>
        </w:trPr>
        <w:tc>
          <w:tcPr>
            <w:tcW w:w="5000" w:type="pct"/>
            <w:gridSpan w:val="2"/>
            <w:shd w:val="clear" w:color="auto" w:fill="F2F2F2" w:themeFill="background1" w:themeFillShade="F2"/>
          </w:tcPr>
          <w:p w:rsidR="00AD689E" w:rsidRPr="00D228A6" w:rsidRDefault="00AD689E" w:rsidP="00C21496">
            <w:pPr>
              <w:pStyle w:val="05Tabletext"/>
              <w:keepNext/>
              <w:keepLines/>
              <w:rPr>
                <w:rFonts w:ascii="Arial" w:hAnsi="Arial" w:cs="Arial"/>
                <w:i/>
                <w:sz w:val="20"/>
                <w:szCs w:val="20"/>
              </w:rPr>
            </w:pPr>
            <w:r w:rsidRPr="00D228A6">
              <w:rPr>
                <w:rFonts w:ascii="Arial" w:hAnsi="Arial" w:cs="Arial"/>
                <w:i/>
                <w:sz w:val="20"/>
                <w:szCs w:val="20"/>
              </w:rPr>
              <w:t xml:space="preserve">ToR 1: </w:t>
            </w:r>
            <w:r w:rsidR="0075528A" w:rsidRPr="00D228A6">
              <w:rPr>
                <w:rFonts w:ascii="Arial" w:hAnsi="Arial" w:cs="Arial"/>
                <w:i/>
                <w:sz w:val="20"/>
                <w:szCs w:val="20"/>
              </w:rPr>
              <w:t xml:space="preserve">Compare clinical guidelines for the management of PAH with the PBS restrictions and </w:t>
            </w:r>
            <w:r w:rsidR="006433E6" w:rsidRPr="00D228A6">
              <w:rPr>
                <w:rFonts w:ascii="Arial" w:hAnsi="Arial" w:cs="Arial"/>
                <w:i/>
                <w:sz w:val="20"/>
                <w:szCs w:val="20"/>
              </w:rPr>
              <w:t>TGA</w:t>
            </w:r>
            <w:r w:rsidR="0075528A" w:rsidRPr="00D228A6">
              <w:rPr>
                <w:rFonts w:ascii="Arial" w:hAnsi="Arial" w:cs="Arial"/>
                <w:i/>
                <w:sz w:val="20"/>
                <w:szCs w:val="20"/>
              </w:rPr>
              <w:t xml:space="preserve"> indications for the use of PAH medicines.</w:t>
            </w:r>
          </w:p>
        </w:tc>
      </w:tr>
      <w:tr w:rsidR="00AD689E" w:rsidRPr="00D228A6" w:rsidTr="00D228A6">
        <w:trPr>
          <w:cantSplit/>
        </w:trPr>
        <w:tc>
          <w:tcPr>
            <w:tcW w:w="3017" w:type="pct"/>
            <w:shd w:val="clear" w:color="auto" w:fill="FFFFFF" w:themeFill="background1"/>
          </w:tcPr>
          <w:p w:rsidR="00AD689E" w:rsidRPr="00D228A6" w:rsidRDefault="00AD689E" w:rsidP="00C21496">
            <w:pPr>
              <w:pStyle w:val="05Tabletext"/>
              <w:rPr>
                <w:rFonts w:ascii="Arial" w:hAnsi="Arial" w:cs="Arial"/>
                <w:sz w:val="20"/>
                <w:szCs w:val="20"/>
              </w:rPr>
            </w:pPr>
            <w:r w:rsidRPr="00D228A6">
              <w:rPr>
                <w:rFonts w:ascii="Arial" w:hAnsi="Arial" w:cs="Arial"/>
                <w:sz w:val="20"/>
                <w:szCs w:val="20"/>
              </w:rPr>
              <w:t xml:space="preserve">A systematic search of relevant evidence-based guidelines </w:t>
            </w:r>
            <w:r w:rsidR="00EA03BA" w:rsidRPr="00D228A6">
              <w:rPr>
                <w:rFonts w:ascii="Arial" w:hAnsi="Arial" w:cs="Arial"/>
                <w:sz w:val="20"/>
                <w:szCs w:val="20"/>
              </w:rPr>
              <w:t xml:space="preserve">or evidence-linked clinical practice guidelines </w:t>
            </w:r>
            <w:r w:rsidRPr="00D228A6">
              <w:rPr>
                <w:rFonts w:ascii="Arial" w:hAnsi="Arial" w:cs="Arial"/>
                <w:sz w:val="20"/>
                <w:szCs w:val="20"/>
              </w:rPr>
              <w:t xml:space="preserve">from regulatory/funding/health technology assessment bodies, guidelines databases and other relevant websites for the treatment of </w:t>
            </w:r>
            <w:r w:rsidR="00EA03BA" w:rsidRPr="00D228A6">
              <w:rPr>
                <w:rFonts w:ascii="Arial" w:hAnsi="Arial" w:cs="Arial"/>
                <w:sz w:val="20"/>
                <w:szCs w:val="20"/>
              </w:rPr>
              <w:t>WHO FC II, III or IV PAH</w:t>
            </w:r>
            <w:r w:rsidRPr="00D228A6">
              <w:rPr>
                <w:rFonts w:ascii="Arial" w:hAnsi="Arial" w:cs="Arial"/>
                <w:sz w:val="20"/>
                <w:szCs w:val="20"/>
              </w:rPr>
              <w:t xml:space="preserve">. </w:t>
            </w:r>
          </w:p>
        </w:tc>
        <w:tc>
          <w:tcPr>
            <w:tcW w:w="1983" w:type="pct"/>
            <w:shd w:val="clear" w:color="auto" w:fill="FFFFFF" w:themeFill="background1"/>
          </w:tcPr>
          <w:p w:rsidR="00AD689E" w:rsidRPr="00D228A6" w:rsidRDefault="00291955" w:rsidP="00C21496">
            <w:pPr>
              <w:pStyle w:val="05Tabletext"/>
              <w:rPr>
                <w:rFonts w:ascii="Arial" w:hAnsi="Arial" w:cs="Arial"/>
                <w:sz w:val="20"/>
                <w:szCs w:val="20"/>
              </w:rPr>
            </w:pPr>
            <w:r w:rsidRPr="00D228A6">
              <w:rPr>
                <w:rFonts w:ascii="Arial" w:hAnsi="Arial" w:cs="Arial"/>
                <w:sz w:val="20"/>
                <w:szCs w:val="20"/>
              </w:rPr>
              <w:t xml:space="preserve">PICO </w:t>
            </w:r>
            <w:r w:rsidR="009449C3" w:rsidRPr="00D228A6">
              <w:rPr>
                <w:rFonts w:ascii="Arial" w:hAnsi="Arial" w:cs="Arial"/>
                <w:sz w:val="20"/>
                <w:szCs w:val="20"/>
              </w:rPr>
              <w:t>criteria. The</w:t>
            </w:r>
            <w:r w:rsidR="00AD689E" w:rsidRPr="00D228A6">
              <w:rPr>
                <w:rFonts w:ascii="Arial" w:hAnsi="Arial" w:cs="Arial"/>
                <w:sz w:val="20"/>
                <w:szCs w:val="20"/>
              </w:rPr>
              <w:t xml:space="preserve"> search </w:t>
            </w:r>
            <w:r w:rsidR="009449C3" w:rsidRPr="00D228A6">
              <w:rPr>
                <w:rFonts w:ascii="Arial" w:hAnsi="Arial" w:cs="Arial"/>
                <w:sz w:val="20"/>
                <w:szCs w:val="20"/>
              </w:rPr>
              <w:t>focussed on</w:t>
            </w:r>
            <w:r w:rsidR="00AD689E" w:rsidRPr="00D228A6">
              <w:rPr>
                <w:rFonts w:ascii="Arial" w:hAnsi="Arial" w:cs="Arial"/>
                <w:sz w:val="20"/>
                <w:szCs w:val="20"/>
              </w:rPr>
              <w:t xml:space="preserve"> Australian and </w:t>
            </w:r>
            <w:r w:rsidR="00EA03BA" w:rsidRPr="00D228A6">
              <w:rPr>
                <w:rFonts w:ascii="Arial" w:hAnsi="Arial" w:cs="Arial"/>
                <w:sz w:val="20"/>
                <w:szCs w:val="20"/>
              </w:rPr>
              <w:t>European and North American guidelines</w:t>
            </w:r>
            <w:r w:rsidR="00AD689E" w:rsidRPr="00D228A6">
              <w:rPr>
                <w:rFonts w:ascii="Arial" w:hAnsi="Arial" w:cs="Arial"/>
                <w:sz w:val="20"/>
                <w:szCs w:val="20"/>
              </w:rPr>
              <w:t xml:space="preserve"> published from 201</w:t>
            </w:r>
            <w:r w:rsidR="009449C3" w:rsidRPr="00D228A6">
              <w:rPr>
                <w:rFonts w:ascii="Arial" w:hAnsi="Arial" w:cs="Arial"/>
                <w:sz w:val="20"/>
                <w:szCs w:val="20"/>
              </w:rPr>
              <w:t>0</w:t>
            </w:r>
            <w:r w:rsidR="00AD689E" w:rsidRPr="00D228A6">
              <w:rPr>
                <w:rFonts w:ascii="Arial" w:hAnsi="Arial" w:cs="Arial"/>
                <w:sz w:val="20"/>
                <w:szCs w:val="20"/>
              </w:rPr>
              <w:t xml:space="preserve"> to August 2016</w:t>
            </w:r>
            <w:r w:rsidR="009449C3" w:rsidRPr="00D228A6">
              <w:rPr>
                <w:rFonts w:ascii="Arial" w:hAnsi="Arial" w:cs="Arial"/>
                <w:sz w:val="20"/>
                <w:szCs w:val="20"/>
              </w:rPr>
              <w:t>, but considered also earlier publications in the absence of more recent material</w:t>
            </w:r>
            <w:r w:rsidR="00AD689E" w:rsidRPr="00D228A6">
              <w:rPr>
                <w:rFonts w:ascii="Arial" w:hAnsi="Arial" w:cs="Arial"/>
                <w:sz w:val="20"/>
                <w:szCs w:val="20"/>
              </w:rPr>
              <w:t>.</w:t>
            </w:r>
          </w:p>
        </w:tc>
      </w:tr>
      <w:tr w:rsidR="00AD689E" w:rsidRPr="00D228A6" w:rsidTr="00D228A6">
        <w:trPr>
          <w:cantSplit/>
        </w:trPr>
        <w:tc>
          <w:tcPr>
            <w:tcW w:w="5000" w:type="pct"/>
            <w:gridSpan w:val="2"/>
            <w:shd w:val="clear" w:color="auto" w:fill="F2F2F2" w:themeFill="background1" w:themeFillShade="F2"/>
          </w:tcPr>
          <w:p w:rsidR="00AD689E" w:rsidRPr="00D228A6" w:rsidRDefault="00AD689E" w:rsidP="00C21496">
            <w:pPr>
              <w:pStyle w:val="05Tabletext"/>
              <w:rPr>
                <w:rFonts w:ascii="Arial" w:hAnsi="Arial" w:cs="Arial"/>
                <w:i/>
                <w:sz w:val="20"/>
                <w:szCs w:val="20"/>
              </w:rPr>
            </w:pPr>
            <w:r w:rsidRPr="00D228A6">
              <w:rPr>
                <w:rFonts w:ascii="Arial" w:hAnsi="Arial" w:cs="Arial"/>
                <w:i/>
                <w:sz w:val="20"/>
                <w:szCs w:val="20"/>
              </w:rPr>
              <w:t xml:space="preserve">ToR 3: </w:t>
            </w:r>
            <w:r w:rsidR="0075528A" w:rsidRPr="00D228A6">
              <w:rPr>
                <w:rFonts w:ascii="Arial" w:hAnsi="Arial" w:cs="Arial"/>
                <w:i/>
                <w:sz w:val="20"/>
                <w:szCs w:val="20"/>
              </w:rPr>
              <w:t>Review of clinical outcomes that are most important or clinically relevant to patients with PAH, and the extent to which these outcomes are included in the evidence previously considered by PBAC.</w:t>
            </w:r>
          </w:p>
        </w:tc>
      </w:tr>
      <w:tr w:rsidR="00AD689E" w:rsidRPr="00D228A6" w:rsidTr="00D228A6">
        <w:trPr>
          <w:cantSplit/>
        </w:trPr>
        <w:tc>
          <w:tcPr>
            <w:tcW w:w="3017" w:type="pct"/>
            <w:shd w:val="clear" w:color="auto" w:fill="FFFFFF" w:themeFill="background1"/>
          </w:tcPr>
          <w:p w:rsidR="00AD689E" w:rsidRPr="00D228A6" w:rsidRDefault="00EA03BA" w:rsidP="00C21496">
            <w:pPr>
              <w:pStyle w:val="06Tabletextspacebefore"/>
              <w:rPr>
                <w:rFonts w:ascii="Arial" w:hAnsi="Arial" w:cs="Arial"/>
                <w:sz w:val="20"/>
                <w:szCs w:val="20"/>
              </w:rPr>
            </w:pPr>
            <w:r w:rsidRPr="00D228A6">
              <w:rPr>
                <w:rFonts w:ascii="Arial" w:hAnsi="Arial" w:cs="Arial"/>
                <w:sz w:val="20"/>
                <w:szCs w:val="20"/>
              </w:rPr>
              <w:t>A consumer forum was held to answer pre-determined questions on important or clinically relevant outcomes for patients and compared to evidence considered by PBAC.</w:t>
            </w:r>
          </w:p>
        </w:tc>
        <w:tc>
          <w:tcPr>
            <w:tcW w:w="1983" w:type="pct"/>
            <w:shd w:val="clear" w:color="auto" w:fill="FFFFFF" w:themeFill="background1"/>
          </w:tcPr>
          <w:p w:rsidR="00AD689E" w:rsidRPr="00D228A6" w:rsidRDefault="009449C3" w:rsidP="00C21496">
            <w:pPr>
              <w:pStyle w:val="05Tabletext"/>
              <w:rPr>
                <w:rFonts w:ascii="Arial" w:hAnsi="Arial" w:cs="Arial"/>
                <w:sz w:val="20"/>
                <w:szCs w:val="20"/>
              </w:rPr>
            </w:pPr>
            <w:r w:rsidRPr="00D228A6">
              <w:rPr>
                <w:rFonts w:ascii="Arial" w:hAnsi="Arial" w:cs="Arial"/>
                <w:sz w:val="20"/>
                <w:szCs w:val="20"/>
              </w:rPr>
              <w:t>Consumer forum on 14 October with members of the Pulmonary Hypertension Association Australia</w:t>
            </w:r>
            <w:r w:rsidR="00547BC2" w:rsidRPr="00D228A6">
              <w:rPr>
                <w:rFonts w:ascii="Arial" w:hAnsi="Arial" w:cs="Arial"/>
                <w:sz w:val="20"/>
                <w:szCs w:val="20"/>
              </w:rPr>
              <w:t>, and w</w:t>
            </w:r>
            <w:r w:rsidRPr="00D228A6">
              <w:rPr>
                <w:rFonts w:ascii="Arial" w:hAnsi="Arial" w:cs="Arial"/>
                <w:sz w:val="20"/>
                <w:szCs w:val="20"/>
              </w:rPr>
              <w:t xml:space="preserve">ritten </w:t>
            </w:r>
            <w:r w:rsidR="00547BC2" w:rsidRPr="00D228A6">
              <w:rPr>
                <w:rFonts w:ascii="Arial" w:hAnsi="Arial" w:cs="Arial"/>
                <w:sz w:val="20"/>
                <w:szCs w:val="20"/>
              </w:rPr>
              <w:t xml:space="preserve">submissions from members </w:t>
            </w:r>
            <w:r w:rsidRPr="00D228A6">
              <w:rPr>
                <w:rFonts w:ascii="Arial" w:hAnsi="Arial" w:cs="Arial"/>
                <w:sz w:val="20"/>
                <w:szCs w:val="20"/>
              </w:rPr>
              <w:t xml:space="preserve">received </w:t>
            </w:r>
            <w:r w:rsidR="00547BC2" w:rsidRPr="00D228A6">
              <w:rPr>
                <w:rFonts w:ascii="Arial" w:hAnsi="Arial" w:cs="Arial"/>
                <w:sz w:val="20"/>
                <w:szCs w:val="20"/>
              </w:rPr>
              <w:t>between 11 </w:t>
            </w:r>
            <w:r w:rsidRPr="00D228A6">
              <w:rPr>
                <w:rFonts w:ascii="Arial" w:hAnsi="Arial" w:cs="Arial"/>
                <w:sz w:val="20"/>
                <w:szCs w:val="20"/>
              </w:rPr>
              <w:t>October and 31October 2017.</w:t>
            </w:r>
          </w:p>
        </w:tc>
      </w:tr>
      <w:tr w:rsidR="00AD689E" w:rsidRPr="00D228A6" w:rsidTr="00D228A6">
        <w:trPr>
          <w:cantSplit/>
        </w:trPr>
        <w:tc>
          <w:tcPr>
            <w:tcW w:w="5000" w:type="pct"/>
            <w:gridSpan w:val="2"/>
            <w:shd w:val="clear" w:color="auto" w:fill="F2F2F2" w:themeFill="background1" w:themeFillShade="F2"/>
          </w:tcPr>
          <w:p w:rsidR="00AD689E" w:rsidRPr="00D228A6" w:rsidRDefault="00AD689E" w:rsidP="00C21496">
            <w:pPr>
              <w:pStyle w:val="05Tabletext"/>
              <w:rPr>
                <w:rFonts w:ascii="Arial" w:hAnsi="Arial" w:cs="Arial"/>
                <w:i/>
                <w:sz w:val="20"/>
                <w:szCs w:val="20"/>
              </w:rPr>
            </w:pPr>
            <w:r w:rsidRPr="00D228A6">
              <w:rPr>
                <w:rFonts w:ascii="Arial" w:hAnsi="Arial" w:cs="Arial"/>
                <w:i/>
                <w:sz w:val="20"/>
                <w:szCs w:val="20"/>
              </w:rPr>
              <w:t xml:space="preserve">ToR 4: </w:t>
            </w:r>
            <w:r w:rsidR="0075528A" w:rsidRPr="00D228A6">
              <w:rPr>
                <w:rFonts w:ascii="Arial" w:hAnsi="Arial" w:cs="Arial"/>
                <w:i/>
                <w:sz w:val="20"/>
                <w:szCs w:val="20"/>
              </w:rPr>
              <w:t>Review of comparative effectiveness of PAH medicines, including combination use and use in the WHO functional class II patient populations.</w:t>
            </w:r>
          </w:p>
        </w:tc>
      </w:tr>
      <w:tr w:rsidR="0075528A" w:rsidRPr="00D228A6" w:rsidTr="00D228A6">
        <w:trPr>
          <w:cantSplit/>
        </w:trPr>
        <w:tc>
          <w:tcPr>
            <w:tcW w:w="3017" w:type="pct"/>
            <w:shd w:val="clear" w:color="auto" w:fill="FFFFFF" w:themeFill="background1"/>
          </w:tcPr>
          <w:p w:rsidR="00EA03BA" w:rsidRPr="00D228A6" w:rsidRDefault="0075528A" w:rsidP="00C21496">
            <w:pPr>
              <w:pStyle w:val="05Tabletext"/>
              <w:rPr>
                <w:rFonts w:ascii="Arial" w:hAnsi="Arial" w:cs="Arial"/>
                <w:sz w:val="20"/>
                <w:szCs w:val="20"/>
              </w:rPr>
            </w:pPr>
            <w:r w:rsidRPr="00D228A6">
              <w:rPr>
                <w:rFonts w:ascii="Arial" w:hAnsi="Arial" w:cs="Arial"/>
                <w:sz w:val="20"/>
                <w:szCs w:val="20"/>
              </w:rPr>
              <w:lastRenderedPageBreak/>
              <w:t xml:space="preserve">A systematic literature review was performed encompassing both the peer-reviewed literature and any additional evidence (published or unpublished) provided by the sponsors in their ToR public consultation submissions. The peer-reviewed literature was screened for clinical studies that consider the </w:t>
            </w:r>
            <w:r w:rsidR="00291955" w:rsidRPr="00D228A6">
              <w:rPr>
                <w:rFonts w:ascii="Arial" w:hAnsi="Arial" w:cs="Arial"/>
                <w:sz w:val="20"/>
                <w:szCs w:val="20"/>
              </w:rPr>
              <w:t xml:space="preserve">effectiveness and </w:t>
            </w:r>
            <w:r w:rsidRPr="00D228A6">
              <w:rPr>
                <w:rFonts w:ascii="Arial" w:hAnsi="Arial" w:cs="Arial"/>
                <w:sz w:val="20"/>
                <w:szCs w:val="20"/>
              </w:rPr>
              <w:t xml:space="preserve">safety of </w:t>
            </w:r>
            <w:r w:rsidR="00291955" w:rsidRPr="00D228A6">
              <w:rPr>
                <w:rFonts w:ascii="Arial" w:hAnsi="Arial" w:cs="Arial"/>
                <w:sz w:val="20"/>
                <w:szCs w:val="20"/>
              </w:rPr>
              <w:t>monotherapy, dual combination therapy and triple combination therapy in patients with PAH</w:t>
            </w:r>
            <w:r w:rsidR="00EA03BA" w:rsidRPr="00D228A6">
              <w:rPr>
                <w:rFonts w:ascii="Arial" w:hAnsi="Arial" w:cs="Arial"/>
                <w:sz w:val="20"/>
                <w:szCs w:val="20"/>
              </w:rPr>
              <w:t xml:space="preserve"> </w:t>
            </w:r>
          </w:p>
          <w:p w:rsidR="0075528A" w:rsidRPr="00D228A6" w:rsidRDefault="0075528A" w:rsidP="00C21496">
            <w:pPr>
              <w:pStyle w:val="05Tabletext"/>
              <w:rPr>
                <w:rFonts w:ascii="Arial" w:hAnsi="Arial" w:cs="Arial"/>
                <w:sz w:val="20"/>
                <w:szCs w:val="20"/>
              </w:rPr>
            </w:pPr>
          </w:p>
        </w:tc>
        <w:tc>
          <w:tcPr>
            <w:tcW w:w="1983" w:type="pct"/>
            <w:shd w:val="clear" w:color="auto" w:fill="FFFFFF" w:themeFill="background1"/>
          </w:tcPr>
          <w:p w:rsidR="0075528A" w:rsidRPr="00D228A6" w:rsidRDefault="00291955" w:rsidP="00C21496">
            <w:pPr>
              <w:pStyle w:val="05Tabletext"/>
              <w:rPr>
                <w:rFonts w:ascii="Arial" w:hAnsi="Arial" w:cs="Arial"/>
                <w:sz w:val="20"/>
                <w:szCs w:val="20"/>
              </w:rPr>
            </w:pPr>
            <w:r w:rsidRPr="00D228A6">
              <w:rPr>
                <w:rFonts w:ascii="Arial" w:hAnsi="Arial" w:cs="Arial"/>
                <w:sz w:val="20"/>
                <w:szCs w:val="20"/>
              </w:rPr>
              <w:t>PICO criteria.</w:t>
            </w:r>
            <w:r w:rsidR="00406336" w:rsidRPr="00D228A6">
              <w:rPr>
                <w:rFonts w:ascii="Arial" w:hAnsi="Arial" w:cs="Arial"/>
                <w:sz w:val="20"/>
                <w:szCs w:val="20"/>
              </w:rPr>
              <w:t xml:space="preserve"> </w:t>
            </w:r>
            <w:r w:rsidRPr="00D228A6">
              <w:rPr>
                <w:rFonts w:ascii="Arial" w:hAnsi="Arial" w:cs="Arial"/>
                <w:sz w:val="20"/>
                <w:szCs w:val="20"/>
              </w:rPr>
              <w:t xml:space="preserve">The review focussed on evidence that has not previously considered by the PBAC until July 2017. </w:t>
            </w:r>
          </w:p>
        </w:tc>
      </w:tr>
      <w:tr w:rsidR="00D228A6" w:rsidRPr="00D228A6" w:rsidTr="00D228A6">
        <w:trPr>
          <w:cantSplit/>
        </w:trPr>
        <w:tc>
          <w:tcPr>
            <w:tcW w:w="5000" w:type="pct"/>
            <w:gridSpan w:val="2"/>
            <w:shd w:val="clear" w:color="auto" w:fill="F2F2F2" w:themeFill="background1" w:themeFillShade="F2"/>
          </w:tcPr>
          <w:p w:rsidR="0075528A" w:rsidRPr="00D228A6" w:rsidRDefault="0075528A" w:rsidP="00C21496">
            <w:pPr>
              <w:pStyle w:val="05Tabletext"/>
              <w:rPr>
                <w:rFonts w:ascii="Arial" w:hAnsi="Arial" w:cs="Arial"/>
                <w:i/>
                <w:sz w:val="20"/>
                <w:szCs w:val="20"/>
              </w:rPr>
            </w:pPr>
            <w:r w:rsidRPr="004E3BA2">
              <w:rPr>
                <w:rFonts w:ascii="Arial" w:hAnsi="Arial" w:cs="Arial"/>
                <w:i/>
                <w:sz w:val="20"/>
                <w:szCs w:val="20"/>
              </w:rPr>
              <w:t>ToR 5: Following ToR 1-4 consider reviewing the cost-effectiveness of existing PBS listings for PAH medicines, and in treatment of WHO functional class II and combination treatment in class III and class IV patients.</w:t>
            </w:r>
          </w:p>
        </w:tc>
      </w:tr>
      <w:tr w:rsidR="004E3BA2" w:rsidRPr="00D228A6" w:rsidTr="004E3BA2">
        <w:trPr>
          <w:cantSplit/>
        </w:trPr>
        <w:tc>
          <w:tcPr>
            <w:tcW w:w="5000" w:type="pct"/>
            <w:gridSpan w:val="2"/>
            <w:shd w:val="clear" w:color="auto" w:fill="FFFFFF" w:themeFill="background1"/>
          </w:tcPr>
          <w:p w:rsidR="004E3BA2" w:rsidRPr="00D228A6" w:rsidRDefault="004E3BA2" w:rsidP="00C21496">
            <w:pPr>
              <w:pStyle w:val="05Tabletext"/>
              <w:rPr>
                <w:rFonts w:ascii="Arial" w:hAnsi="Arial" w:cs="Arial"/>
                <w:sz w:val="20"/>
                <w:szCs w:val="20"/>
              </w:rPr>
            </w:pPr>
            <w:r>
              <w:rPr>
                <w:rFonts w:ascii="Arial" w:hAnsi="Arial" w:cs="Arial"/>
                <w:sz w:val="20"/>
                <w:szCs w:val="20"/>
              </w:rPr>
              <w:t>To be determined</w:t>
            </w:r>
          </w:p>
        </w:tc>
      </w:tr>
    </w:tbl>
    <w:p w:rsidR="006433E6" w:rsidRPr="00D228A6" w:rsidRDefault="006433E6" w:rsidP="00C21496">
      <w:pPr>
        <w:pStyle w:val="Tablenote"/>
        <w:jc w:val="left"/>
      </w:pPr>
      <w:bookmarkStart w:id="17" w:name="_Toc486853623"/>
      <w:r w:rsidRPr="00D228A6">
        <w:t>PBAC=Pharmaceutical Benefits Advisory Committee, PBS=Pharmaceutical Benefits Scheme, PICO=Population, Intervention, Comparator and Outcome, PAH=pulmonary arterial hypertension, TGA= Therapeutic Goods Administration, ToR=Terms of Reference, WHO FC=World Health Organization Functional Class</w:t>
      </w:r>
    </w:p>
    <w:p w:rsidR="006433E6" w:rsidRPr="00D228A6" w:rsidRDefault="006433E6" w:rsidP="00C21496">
      <w:pPr>
        <w:pStyle w:val="ExSTableHeader"/>
        <w:spacing w:before="0"/>
        <w:jc w:val="left"/>
        <w:rPr>
          <w:rFonts w:ascii="Arial" w:hAnsi="Arial"/>
          <w:b w:val="0"/>
          <w:sz w:val="20"/>
          <w:szCs w:val="20"/>
        </w:rPr>
      </w:pPr>
    </w:p>
    <w:p w:rsidR="00C11604" w:rsidRPr="00D228A6" w:rsidRDefault="00C11604" w:rsidP="00C21496">
      <w:pPr>
        <w:jc w:val="left"/>
        <w:rPr>
          <w:rFonts w:ascii="Arial" w:eastAsia="Calibri" w:hAnsi="Arial" w:cs="Arial"/>
          <w:b/>
          <w:sz w:val="20"/>
          <w:szCs w:val="20"/>
          <w:lang w:eastAsia="en-US"/>
        </w:rPr>
      </w:pPr>
      <w:r w:rsidRPr="00D228A6">
        <w:rPr>
          <w:rFonts w:ascii="Arial" w:hAnsi="Arial" w:cs="Arial"/>
          <w:sz w:val="20"/>
          <w:szCs w:val="20"/>
        </w:rPr>
        <w:br w:type="page"/>
      </w:r>
    </w:p>
    <w:p w:rsidR="006433E6" w:rsidRPr="00A94DF2" w:rsidRDefault="00E30026" w:rsidP="00C21496">
      <w:pPr>
        <w:pStyle w:val="Caption"/>
        <w:jc w:val="left"/>
      </w:pPr>
      <w:bookmarkStart w:id="18" w:name="_Ref511118454"/>
      <w:bookmarkStart w:id="19" w:name="_Toc513108447"/>
      <w:r w:rsidRPr="00A94DF2">
        <w:lastRenderedPageBreak/>
        <w:t>Table ES.</w:t>
      </w:r>
      <w:r w:rsidR="00CC79E1">
        <w:rPr>
          <w:noProof/>
        </w:rPr>
        <w:t>3</w:t>
      </w:r>
      <w:bookmarkEnd w:id="18"/>
      <w:r w:rsidRPr="00A94DF2">
        <w:tab/>
        <w:t>Methodological approach to ToR 2</w:t>
      </w:r>
      <w:bookmarkEnd w:id="1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3686"/>
        <w:gridCol w:w="4116"/>
      </w:tblGrid>
      <w:tr w:rsidR="006433E6" w:rsidRPr="00D228A6" w:rsidTr="00CD64AB">
        <w:trPr>
          <w:cantSplit/>
        </w:trPr>
        <w:tc>
          <w:tcPr>
            <w:tcW w:w="705" w:type="pct"/>
            <w:tcBorders>
              <w:bottom w:val="single" w:sz="4" w:space="0" w:color="auto"/>
            </w:tcBorders>
            <w:shd w:val="clear" w:color="auto" w:fill="BFBFBF" w:themeFill="background1" w:themeFillShade="BF"/>
          </w:tcPr>
          <w:p w:rsidR="006433E6" w:rsidRPr="00D228A6" w:rsidRDefault="006433E6" w:rsidP="00C21496">
            <w:pPr>
              <w:pStyle w:val="05Tabletext"/>
              <w:rPr>
                <w:rFonts w:ascii="Arial" w:hAnsi="Arial" w:cs="Arial"/>
                <w:b/>
                <w:sz w:val="20"/>
                <w:szCs w:val="20"/>
              </w:rPr>
            </w:pPr>
            <w:r w:rsidRPr="00D228A6">
              <w:rPr>
                <w:rFonts w:ascii="Arial" w:hAnsi="Arial" w:cs="Arial"/>
                <w:b/>
                <w:sz w:val="20"/>
                <w:szCs w:val="20"/>
              </w:rPr>
              <w:t>Analysis</w:t>
            </w:r>
          </w:p>
        </w:tc>
        <w:tc>
          <w:tcPr>
            <w:tcW w:w="2029" w:type="pct"/>
            <w:tcBorders>
              <w:bottom w:val="single" w:sz="4" w:space="0" w:color="auto"/>
            </w:tcBorders>
            <w:shd w:val="clear" w:color="auto" w:fill="BFBFBF" w:themeFill="background1" w:themeFillShade="BF"/>
          </w:tcPr>
          <w:p w:rsidR="006433E6" w:rsidRPr="00D228A6" w:rsidRDefault="006433E6" w:rsidP="00C21496">
            <w:pPr>
              <w:pStyle w:val="05Tabletext"/>
              <w:rPr>
                <w:rFonts w:ascii="Arial" w:hAnsi="Arial" w:cs="Arial"/>
                <w:b/>
                <w:sz w:val="20"/>
                <w:szCs w:val="20"/>
              </w:rPr>
            </w:pPr>
            <w:r w:rsidRPr="00D228A6">
              <w:rPr>
                <w:rFonts w:ascii="Arial" w:hAnsi="Arial" w:cs="Arial"/>
                <w:b/>
                <w:sz w:val="20"/>
                <w:szCs w:val="20"/>
              </w:rPr>
              <w:t>Data Source</w:t>
            </w:r>
          </w:p>
        </w:tc>
        <w:tc>
          <w:tcPr>
            <w:tcW w:w="2266" w:type="pct"/>
            <w:tcBorders>
              <w:bottom w:val="single" w:sz="4" w:space="0" w:color="auto"/>
            </w:tcBorders>
            <w:shd w:val="clear" w:color="auto" w:fill="BFBFBF" w:themeFill="background1" w:themeFillShade="BF"/>
          </w:tcPr>
          <w:p w:rsidR="006433E6" w:rsidRPr="00D228A6" w:rsidRDefault="006433E6" w:rsidP="00C21496">
            <w:pPr>
              <w:pStyle w:val="05Tabletext"/>
              <w:ind w:left="141"/>
              <w:rPr>
                <w:rFonts w:ascii="Arial" w:hAnsi="Arial" w:cs="Arial"/>
                <w:b/>
                <w:sz w:val="20"/>
                <w:szCs w:val="20"/>
              </w:rPr>
            </w:pPr>
            <w:r w:rsidRPr="00D228A6">
              <w:rPr>
                <w:rFonts w:ascii="Arial" w:hAnsi="Arial" w:cs="Arial"/>
                <w:b/>
                <w:sz w:val="20"/>
                <w:szCs w:val="20"/>
              </w:rPr>
              <w:t>Methodological approach</w:t>
            </w:r>
          </w:p>
        </w:tc>
      </w:tr>
      <w:tr w:rsidR="00D228A6" w:rsidRPr="00D228A6" w:rsidTr="00D228A6">
        <w:trPr>
          <w:cantSplit/>
        </w:trPr>
        <w:tc>
          <w:tcPr>
            <w:tcW w:w="5000" w:type="pct"/>
            <w:gridSpan w:val="3"/>
            <w:tcBorders>
              <w:bottom w:val="single" w:sz="4" w:space="0" w:color="auto"/>
            </w:tcBorders>
            <w:shd w:val="clear" w:color="auto" w:fill="F2F2F2" w:themeFill="background1" w:themeFillShade="F2"/>
          </w:tcPr>
          <w:p w:rsidR="006433E6" w:rsidRPr="00D228A6" w:rsidRDefault="006433E6" w:rsidP="00C21496">
            <w:pPr>
              <w:pStyle w:val="05Tabletext"/>
              <w:ind w:right="361"/>
              <w:rPr>
                <w:rFonts w:ascii="Arial" w:hAnsi="Arial" w:cs="Arial"/>
                <w:i/>
                <w:sz w:val="20"/>
                <w:szCs w:val="20"/>
              </w:rPr>
            </w:pPr>
            <w:r w:rsidRPr="00D228A6">
              <w:rPr>
                <w:rFonts w:ascii="Arial" w:hAnsi="Arial" w:cs="Arial"/>
                <w:i/>
                <w:sz w:val="20"/>
                <w:szCs w:val="20"/>
              </w:rPr>
              <w:t>ToR 2: Utilisation analysis of PAH medicines</w:t>
            </w:r>
          </w:p>
        </w:tc>
      </w:tr>
      <w:tr w:rsidR="006433E6" w:rsidRPr="00D228A6" w:rsidTr="00CD64AB">
        <w:trPr>
          <w:cantSplit/>
        </w:trPr>
        <w:tc>
          <w:tcPr>
            <w:tcW w:w="705"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1</w:t>
            </w:r>
          </w:p>
        </w:tc>
        <w:tc>
          <w:tcPr>
            <w:tcW w:w="2029"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Utilisation analysis of PBS / RPBS claims data</w:t>
            </w:r>
          </w:p>
        </w:tc>
        <w:tc>
          <w:tcPr>
            <w:tcW w:w="2266" w:type="pct"/>
            <w:shd w:val="clear" w:color="auto" w:fill="FFFFFF" w:themeFill="background1"/>
          </w:tcPr>
          <w:p w:rsidR="006433E6" w:rsidRPr="00D228A6" w:rsidRDefault="006433E6" w:rsidP="00C21496">
            <w:pPr>
              <w:pStyle w:val="Bullettext"/>
              <w:ind w:left="425" w:hanging="284"/>
              <w:rPr>
                <w:rFonts w:ascii="Arial" w:hAnsi="Arial" w:cs="Arial"/>
                <w:sz w:val="20"/>
                <w:szCs w:val="20"/>
              </w:rPr>
            </w:pPr>
            <w:r w:rsidRPr="00D228A6">
              <w:rPr>
                <w:rFonts w:ascii="Arial" w:hAnsi="Arial" w:cs="Arial"/>
                <w:sz w:val="20"/>
                <w:szCs w:val="20"/>
              </w:rPr>
              <w:t xml:space="preserve">PAH PBS/RPBS prescription and benefit analysis based on Department of Human Services date of processing data inclusive of July 2013 to December 2016. </w:t>
            </w:r>
          </w:p>
          <w:p w:rsidR="006433E6" w:rsidRPr="00D228A6" w:rsidRDefault="006433E6" w:rsidP="00C21496">
            <w:pPr>
              <w:pStyle w:val="Bullettext"/>
              <w:ind w:left="425" w:hanging="284"/>
              <w:rPr>
                <w:rFonts w:ascii="Arial" w:hAnsi="Arial" w:cs="Arial"/>
                <w:sz w:val="20"/>
                <w:szCs w:val="20"/>
              </w:rPr>
            </w:pPr>
            <w:r w:rsidRPr="00D228A6">
              <w:rPr>
                <w:rFonts w:ascii="Arial" w:hAnsi="Arial" w:cs="Arial"/>
                <w:sz w:val="20"/>
                <w:szCs w:val="20"/>
              </w:rPr>
              <w:t>DHS de-identified date of death data</w:t>
            </w:r>
          </w:p>
          <w:p w:rsidR="006433E6" w:rsidRPr="00D228A6" w:rsidRDefault="006433E6" w:rsidP="00C21496">
            <w:pPr>
              <w:pStyle w:val="05Tabletext"/>
              <w:ind w:left="425" w:hanging="284"/>
              <w:rPr>
                <w:rFonts w:ascii="Arial" w:hAnsi="Arial" w:cs="Arial"/>
                <w:sz w:val="20"/>
                <w:szCs w:val="20"/>
              </w:rPr>
            </w:pPr>
            <w:r w:rsidRPr="00D228A6">
              <w:rPr>
                <w:rFonts w:ascii="Arial" w:hAnsi="Arial" w:cs="Arial"/>
                <w:sz w:val="20"/>
                <w:szCs w:val="20"/>
              </w:rPr>
              <w:t xml:space="preserve">PAH PBS patient record analysis based on de-identified data supplied by the Department of Health. </w:t>
            </w:r>
          </w:p>
        </w:tc>
      </w:tr>
      <w:tr w:rsidR="006433E6" w:rsidRPr="00D228A6" w:rsidTr="00CD64AB">
        <w:trPr>
          <w:cantSplit/>
        </w:trPr>
        <w:tc>
          <w:tcPr>
            <w:tcW w:w="705"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2</w:t>
            </w:r>
          </w:p>
        </w:tc>
        <w:tc>
          <w:tcPr>
            <w:tcW w:w="2029"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PHSANZ registry data analysis</w:t>
            </w:r>
          </w:p>
        </w:tc>
        <w:tc>
          <w:tcPr>
            <w:tcW w:w="2266" w:type="pct"/>
            <w:shd w:val="clear" w:color="auto" w:fill="FFFFFF" w:themeFill="background1"/>
          </w:tcPr>
          <w:p w:rsidR="006433E6" w:rsidRPr="00D228A6" w:rsidRDefault="006433E6" w:rsidP="00C21496">
            <w:pPr>
              <w:pStyle w:val="05Tabletext"/>
              <w:ind w:left="425" w:hanging="284"/>
              <w:rPr>
                <w:rFonts w:ascii="Arial" w:hAnsi="Arial" w:cs="Arial"/>
                <w:sz w:val="20"/>
                <w:szCs w:val="20"/>
              </w:rPr>
            </w:pPr>
            <w:r w:rsidRPr="00D228A6">
              <w:rPr>
                <w:rFonts w:ascii="Arial" w:hAnsi="Arial" w:cs="Arial"/>
                <w:sz w:val="20"/>
                <w:szCs w:val="20"/>
              </w:rPr>
              <w:t xml:space="preserve">Cross-sectional analysis </w:t>
            </w:r>
          </w:p>
        </w:tc>
      </w:tr>
      <w:tr w:rsidR="006433E6" w:rsidRPr="00D228A6" w:rsidTr="00CD64AB">
        <w:trPr>
          <w:cantSplit/>
        </w:trPr>
        <w:tc>
          <w:tcPr>
            <w:tcW w:w="705"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3</w:t>
            </w:r>
          </w:p>
        </w:tc>
        <w:tc>
          <w:tcPr>
            <w:tcW w:w="2029" w:type="pct"/>
            <w:shd w:val="clear" w:color="auto" w:fill="FFFFFF" w:themeFill="background1"/>
          </w:tcPr>
          <w:p w:rsidR="006433E6" w:rsidRPr="00D228A6" w:rsidRDefault="006433E6" w:rsidP="00C21496">
            <w:pPr>
              <w:pStyle w:val="05Tabletext"/>
              <w:rPr>
                <w:rFonts w:ascii="Arial" w:hAnsi="Arial" w:cs="Arial"/>
                <w:sz w:val="20"/>
                <w:szCs w:val="20"/>
              </w:rPr>
            </w:pPr>
            <w:r w:rsidRPr="00D228A6">
              <w:rPr>
                <w:rFonts w:ascii="Arial" w:hAnsi="Arial" w:cs="Arial"/>
                <w:sz w:val="20"/>
                <w:szCs w:val="20"/>
              </w:rPr>
              <w:t>Australian Scleroderma Cohort Study</w:t>
            </w:r>
            <w:r w:rsidR="001578B6" w:rsidRPr="00D228A6">
              <w:rPr>
                <w:rFonts w:ascii="Arial" w:hAnsi="Arial" w:cs="Arial"/>
                <w:sz w:val="20"/>
                <w:szCs w:val="20"/>
              </w:rPr>
              <w:t xml:space="preserve"> </w:t>
            </w:r>
            <w:r w:rsidRPr="00D228A6">
              <w:rPr>
                <w:rFonts w:ascii="Arial" w:hAnsi="Arial" w:cs="Arial"/>
                <w:sz w:val="20"/>
                <w:szCs w:val="20"/>
              </w:rPr>
              <w:t>data analysis</w:t>
            </w:r>
          </w:p>
        </w:tc>
        <w:tc>
          <w:tcPr>
            <w:tcW w:w="2266" w:type="pct"/>
            <w:shd w:val="clear" w:color="auto" w:fill="FFFFFF" w:themeFill="background1"/>
          </w:tcPr>
          <w:p w:rsidR="006433E6" w:rsidRPr="00D228A6" w:rsidRDefault="006433E6" w:rsidP="00C21496">
            <w:pPr>
              <w:pStyle w:val="05Tabletext"/>
              <w:ind w:left="425" w:hanging="284"/>
              <w:rPr>
                <w:rFonts w:ascii="Arial" w:hAnsi="Arial" w:cs="Arial"/>
                <w:sz w:val="20"/>
                <w:szCs w:val="20"/>
              </w:rPr>
            </w:pPr>
            <w:r w:rsidRPr="00D228A6">
              <w:rPr>
                <w:rFonts w:ascii="Arial" w:hAnsi="Arial" w:cs="Arial"/>
                <w:sz w:val="20"/>
                <w:szCs w:val="20"/>
              </w:rPr>
              <w:t>Cross-sectional analysis</w:t>
            </w:r>
          </w:p>
        </w:tc>
      </w:tr>
    </w:tbl>
    <w:p w:rsidR="006433E6" w:rsidRPr="00D228A6" w:rsidRDefault="006433E6" w:rsidP="00C21496">
      <w:pPr>
        <w:pStyle w:val="Tablenote"/>
        <w:jc w:val="left"/>
      </w:pPr>
      <w:r w:rsidRPr="00D228A6">
        <w:t xml:space="preserve">PBS= Pharmaceutical Benefits Scheme, </w:t>
      </w:r>
      <w:r w:rsidR="00836CE4" w:rsidRPr="00D228A6">
        <w:t xml:space="preserve">PHSANZ= Pulmonary Hypertension Society of Australia and New Zealand </w:t>
      </w:r>
      <w:r w:rsidRPr="00D228A6">
        <w:t xml:space="preserve">RPBS=Repatriation Schedule of Pharmaceutical Benefits, </w:t>
      </w:r>
    </w:p>
    <w:p w:rsidR="00DE5CA2" w:rsidRPr="009F466A" w:rsidRDefault="00DE5CA2" w:rsidP="003B577F">
      <w:pPr>
        <w:pStyle w:val="Heading3"/>
      </w:pPr>
      <w:bookmarkStart w:id="20" w:name="_Toc513110230"/>
      <w:bookmarkEnd w:id="17"/>
      <w:r w:rsidRPr="009F466A">
        <w:t>Stakeholder consultation</w:t>
      </w:r>
      <w:bookmarkEnd w:id="20"/>
    </w:p>
    <w:p w:rsidR="00DE5CA2" w:rsidRPr="009F466A" w:rsidRDefault="00DE5CA2" w:rsidP="00C21496">
      <w:pPr>
        <w:keepNext/>
        <w:keepLines/>
        <w:jc w:val="left"/>
      </w:pPr>
      <w:r w:rsidRPr="009F466A">
        <w:t>Opportunities for stakeholder consultation throughout the</w:t>
      </w:r>
      <w:r w:rsidR="00D23B93" w:rsidRPr="009F466A">
        <w:t xml:space="preserve"> PAH Review</w:t>
      </w:r>
      <w:r w:rsidR="00836CE4" w:rsidRPr="009F466A">
        <w:t xml:space="preserve"> </w:t>
      </w:r>
      <w:r w:rsidR="00D23B93" w:rsidRPr="009F466A">
        <w:t>included:</w:t>
      </w:r>
    </w:p>
    <w:p w:rsidR="00836CE4" w:rsidRPr="009F466A" w:rsidRDefault="004D2141" w:rsidP="00C21496">
      <w:pPr>
        <w:pStyle w:val="ListParagraph"/>
        <w:keepNext/>
        <w:keepLines/>
        <w:numPr>
          <w:ilvl w:val="0"/>
          <w:numId w:val="6"/>
        </w:numPr>
        <w:spacing w:after="0"/>
        <w:jc w:val="left"/>
      </w:pPr>
      <w:r>
        <w:t>P</w:t>
      </w:r>
      <w:r w:rsidR="00DE5CA2" w:rsidRPr="009F466A">
        <w:t>ublic consultation on the draft ToR</w:t>
      </w:r>
      <w:r>
        <w:t xml:space="preserve"> </w:t>
      </w:r>
      <w:r w:rsidR="00953B36">
        <w:t>-</w:t>
      </w:r>
      <w:r>
        <w:t xml:space="preserve"> open between 2 May and 16 May 2016.</w:t>
      </w:r>
      <w:r w:rsidR="00DE5CA2" w:rsidRPr="009F466A">
        <w:t xml:space="preserve"> </w:t>
      </w:r>
    </w:p>
    <w:p w:rsidR="004D2141" w:rsidRDefault="004D2141" w:rsidP="00C21496">
      <w:pPr>
        <w:pStyle w:val="ListParagraph"/>
        <w:keepNext/>
        <w:keepLines/>
        <w:numPr>
          <w:ilvl w:val="0"/>
          <w:numId w:val="6"/>
        </w:numPr>
        <w:spacing w:after="0"/>
        <w:jc w:val="left"/>
      </w:pPr>
      <w:r>
        <w:t>P</w:t>
      </w:r>
      <w:r w:rsidR="00DE5CA2" w:rsidRPr="009F466A">
        <w:t>u</w:t>
      </w:r>
      <w:r w:rsidR="00836CE4" w:rsidRPr="009F466A">
        <w:t>blic submissions to the Review -</w:t>
      </w:r>
      <w:r w:rsidR="00DE5CA2" w:rsidRPr="009F466A">
        <w:t xml:space="preserve"> open between </w:t>
      </w:r>
      <w:r w:rsidR="00E118AE" w:rsidRPr="009F466A">
        <w:t>13 February and 27 March 2017</w:t>
      </w:r>
      <w:r>
        <w:t>.</w:t>
      </w:r>
    </w:p>
    <w:p w:rsidR="00DE5CA2" w:rsidRPr="009F466A" w:rsidRDefault="00DE5CA2" w:rsidP="00C21496">
      <w:pPr>
        <w:pStyle w:val="ListParagraph"/>
        <w:keepNext/>
        <w:keepLines/>
        <w:numPr>
          <w:ilvl w:val="0"/>
          <w:numId w:val="6"/>
        </w:numPr>
        <w:spacing w:after="0"/>
        <w:jc w:val="left"/>
      </w:pPr>
      <w:r w:rsidRPr="009F466A">
        <w:t xml:space="preserve">Except where requested otherwise, submissions are published on the </w:t>
      </w:r>
      <w:r w:rsidR="00836CE4" w:rsidRPr="00A765F3">
        <w:t>Review’s</w:t>
      </w:r>
      <w:r w:rsidRPr="00A765F3">
        <w:t xml:space="preserve"> website</w:t>
      </w:r>
      <w:r w:rsidRPr="009F466A">
        <w:t>.</w:t>
      </w:r>
    </w:p>
    <w:p w:rsidR="00DE5CA2" w:rsidRPr="009F466A" w:rsidRDefault="00DE5CA2" w:rsidP="00C21496">
      <w:pPr>
        <w:pStyle w:val="ListParagraph"/>
        <w:numPr>
          <w:ilvl w:val="0"/>
          <w:numId w:val="6"/>
        </w:numPr>
        <w:spacing w:after="0"/>
        <w:jc w:val="left"/>
      </w:pPr>
      <w:r w:rsidRPr="009F466A">
        <w:t xml:space="preserve">Consumer Forum </w:t>
      </w:r>
      <w:r w:rsidR="00836CE4" w:rsidRPr="009F466A">
        <w:t>-</w:t>
      </w:r>
      <w:r w:rsidRPr="009F466A">
        <w:t xml:space="preserve"> held </w:t>
      </w:r>
      <w:r w:rsidR="00836CE4" w:rsidRPr="009F466A">
        <w:t>in Sydney on 14 October </w:t>
      </w:r>
      <w:r w:rsidR="0017746E" w:rsidRPr="009F466A">
        <w:t>with members of the Pulmonary Hypertension Association Australia (PHAA)</w:t>
      </w:r>
      <w:r w:rsidRPr="009F466A">
        <w:t xml:space="preserve">. </w:t>
      </w:r>
      <w:r w:rsidR="00836CE4" w:rsidRPr="009F466A">
        <w:t>The discussion form the Consumer Forum is summarised in the ToR key findings. A full version of t</w:t>
      </w:r>
      <w:r w:rsidRPr="009F466A">
        <w:t>he Consumer Forum Summary is</w:t>
      </w:r>
      <w:r w:rsidR="00836CE4" w:rsidRPr="009F466A">
        <w:t xml:space="preserve"> </w:t>
      </w:r>
      <w:r w:rsidRPr="009F466A">
        <w:t xml:space="preserve">at </w:t>
      </w:r>
      <w:r w:rsidRPr="006B7E87">
        <w:t>Appendix F,</w:t>
      </w:r>
      <w:r w:rsidRPr="009F466A">
        <w:t xml:space="preserve"> and on the </w:t>
      </w:r>
      <w:r w:rsidRPr="00A765F3">
        <w:t>Review</w:t>
      </w:r>
      <w:r w:rsidR="00836CE4" w:rsidRPr="00A765F3">
        <w:t>’s</w:t>
      </w:r>
      <w:r w:rsidRPr="00A765F3">
        <w:t xml:space="preserve"> website</w:t>
      </w:r>
      <w:r w:rsidRPr="009F466A">
        <w:t>.</w:t>
      </w:r>
    </w:p>
    <w:p w:rsidR="00836CE4" w:rsidRPr="004D2141" w:rsidRDefault="004D2141" w:rsidP="00C21496">
      <w:pPr>
        <w:pStyle w:val="ListParagraph"/>
        <w:numPr>
          <w:ilvl w:val="0"/>
          <w:numId w:val="6"/>
        </w:numPr>
        <w:spacing w:line="240" w:lineRule="auto"/>
        <w:jc w:val="left"/>
      </w:pPr>
      <w:r>
        <w:t>P</w:t>
      </w:r>
      <w:r w:rsidR="00836CE4" w:rsidRPr="00AA01C1">
        <w:t xml:space="preserve">ublic consultation on the draft report - open </w:t>
      </w:r>
      <w:r w:rsidR="00836CE4" w:rsidRPr="004D2141">
        <w:t xml:space="preserve">from </w:t>
      </w:r>
      <w:r w:rsidR="00AA01C1" w:rsidRPr="004D2141">
        <w:t xml:space="preserve">XX </w:t>
      </w:r>
      <w:proofErr w:type="spellStart"/>
      <w:r w:rsidR="00D84386">
        <w:t>XX</w:t>
      </w:r>
      <w:proofErr w:type="spellEnd"/>
      <w:r w:rsidR="00D84386">
        <w:t xml:space="preserve"> </w:t>
      </w:r>
      <w:r w:rsidR="00AA01C1" w:rsidRPr="004D2141">
        <w:t>2018</w:t>
      </w:r>
      <w:r w:rsidR="00836CE4" w:rsidRPr="004D2141">
        <w:t xml:space="preserve"> to XX</w:t>
      </w:r>
      <w:r w:rsidR="00AA01C1" w:rsidRPr="004D2141">
        <w:t xml:space="preserve"> </w:t>
      </w:r>
      <w:proofErr w:type="spellStart"/>
      <w:r w:rsidR="00D84386">
        <w:t>XX</w:t>
      </w:r>
      <w:proofErr w:type="spellEnd"/>
      <w:r w:rsidR="00D84386">
        <w:t xml:space="preserve"> </w:t>
      </w:r>
      <w:r w:rsidR="00AA01C1" w:rsidRPr="004D2141">
        <w:t>2018</w:t>
      </w:r>
      <w:r w:rsidR="00836CE4" w:rsidRPr="004D2141">
        <w:t>.</w:t>
      </w:r>
    </w:p>
    <w:p w:rsidR="0075528A" w:rsidRPr="009F466A" w:rsidRDefault="0075528A" w:rsidP="00C21496">
      <w:pPr>
        <w:jc w:val="left"/>
        <w:rPr>
          <w:rFonts w:eastAsiaTheme="majorEastAsia" w:cstheme="majorBidi"/>
          <w:b/>
          <w:bCs/>
          <w:color w:val="4F81BD" w:themeColor="accent1"/>
          <w:sz w:val="32"/>
          <w:szCs w:val="32"/>
        </w:rPr>
      </w:pPr>
      <w:r w:rsidRPr="009F466A">
        <w:rPr>
          <w:szCs w:val="32"/>
        </w:rPr>
        <w:br w:type="page"/>
      </w:r>
    </w:p>
    <w:p w:rsidR="00DA60DB" w:rsidRPr="009F466A" w:rsidRDefault="002C3B52" w:rsidP="00C21496">
      <w:pPr>
        <w:pStyle w:val="Heading2"/>
        <w:jc w:val="left"/>
      </w:pPr>
      <w:bookmarkStart w:id="21" w:name="_Toc513110231"/>
      <w:r>
        <w:lastRenderedPageBreak/>
        <w:t xml:space="preserve">Key findings for </w:t>
      </w:r>
      <w:r w:rsidR="00DE5CA2" w:rsidRPr="009F466A">
        <w:t xml:space="preserve">ToR 1: </w:t>
      </w:r>
      <w:r w:rsidR="00FC36B2" w:rsidRPr="009F466A">
        <w:t>Comparison of</w:t>
      </w:r>
      <w:r w:rsidR="00623B3D" w:rsidRPr="009F466A">
        <w:t xml:space="preserve"> prescribing </w:t>
      </w:r>
      <w:r w:rsidR="00DA60DB" w:rsidRPr="009F466A">
        <w:t>restrictions</w:t>
      </w:r>
      <w:r w:rsidR="00623B3D" w:rsidRPr="009F466A">
        <w:t xml:space="preserve"> and</w:t>
      </w:r>
      <w:r w:rsidR="00FC36B2" w:rsidRPr="009F466A">
        <w:t xml:space="preserve"> </w:t>
      </w:r>
      <w:r w:rsidR="00DA60DB" w:rsidRPr="009F466A">
        <w:t>clinical guidelines</w:t>
      </w:r>
      <w:bookmarkEnd w:id="21"/>
    </w:p>
    <w:p w:rsidR="006B7E87" w:rsidRPr="00196A47" w:rsidRDefault="006B7E87" w:rsidP="00C21496">
      <w:pPr>
        <w:pStyle w:val="ToRText"/>
        <w:shd w:val="clear" w:color="auto" w:fill="F2F2F2" w:themeFill="background1" w:themeFillShade="F2"/>
        <w:rPr>
          <w:b w:val="0"/>
          <w:color w:val="auto"/>
        </w:rPr>
      </w:pPr>
      <w:bookmarkStart w:id="22" w:name="_Ref508895706"/>
      <w:bookmarkStart w:id="23" w:name="_Toc502867734"/>
      <w:bookmarkStart w:id="24" w:name="_Ref508903259"/>
      <w:bookmarkStart w:id="25" w:name="_Toc508969634"/>
      <w:bookmarkStart w:id="26" w:name="_Ref508971842"/>
      <w:r w:rsidRPr="00196A47">
        <w:rPr>
          <w:b w:val="0"/>
          <w:color w:val="auto"/>
        </w:rPr>
        <w:t>Q1.</w:t>
      </w:r>
      <w:r w:rsidRPr="00196A47">
        <w:rPr>
          <w:b w:val="0"/>
          <w:color w:val="auto"/>
        </w:rPr>
        <w:tab/>
        <w:t>What are the clinical treatment algorithms recommended in recent Australian, European and North American guidelines for the treatment of WHO FC II, III and IV PAH?</w:t>
      </w:r>
    </w:p>
    <w:p w:rsidR="00EA0855" w:rsidRPr="0063711F" w:rsidRDefault="00EA0855" w:rsidP="00C125B8">
      <w:pPr>
        <w:pStyle w:val="Heading3"/>
      </w:pPr>
      <w:bookmarkStart w:id="27" w:name="_Toc511047264"/>
      <w:bookmarkStart w:id="28" w:name="_Toc513110232"/>
      <w:r w:rsidRPr="0063711F">
        <w:t xml:space="preserve">Key findings </w:t>
      </w:r>
      <w:bookmarkEnd w:id="27"/>
      <w:r w:rsidR="00A60FA0">
        <w:t>– Research Question 1</w:t>
      </w:r>
      <w:bookmarkEnd w:id="28"/>
    </w:p>
    <w:p w:rsidR="006D2935" w:rsidRPr="0063711F" w:rsidRDefault="006D2935" w:rsidP="00C21496">
      <w:pPr>
        <w:jc w:val="left"/>
        <w:rPr>
          <w:i/>
        </w:rPr>
      </w:pPr>
      <w:r w:rsidRPr="0063711F">
        <w:t xml:space="preserve">PAH is a rare disease and there are few clinical guidelines aside from a limited number of key documents published by United States (US) and European medical specialist organisations. The key guidelines of relevance to Australian practice are the: </w:t>
      </w:r>
    </w:p>
    <w:p w:rsidR="006D2935" w:rsidRPr="0063711F" w:rsidRDefault="006D2935" w:rsidP="001960CE">
      <w:pPr>
        <w:pStyle w:val="ListParagraph"/>
        <w:numPr>
          <w:ilvl w:val="0"/>
          <w:numId w:val="32"/>
        </w:numPr>
        <w:spacing w:before="120"/>
        <w:ind w:left="426" w:hanging="426"/>
        <w:jc w:val="left"/>
      </w:pPr>
      <w:r w:rsidRPr="0063711F">
        <w:rPr>
          <w:i/>
        </w:rPr>
        <w:t>2015 European Society of Cardiology/European Respiratory Society (ESC/ERS) guidelines for the diagnosis and treatment of pulmonary hypertension,</w:t>
      </w:r>
    </w:p>
    <w:p w:rsidR="006D2935" w:rsidRPr="0063711F" w:rsidRDefault="006D2935" w:rsidP="001960CE">
      <w:pPr>
        <w:pStyle w:val="ListParagraph"/>
        <w:numPr>
          <w:ilvl w:val="0"/>
          <w:numId w:val="32"/>
        </w:numPr>
        <w:spacing w:before="120"/>
        <w:ind w:left="426" w:hanging="426"/>
        <w:jc w:val="left"/>
      </w:pPr>
      <w:r w:rsidRPr="0063711F">
        <w:t xml:space="preserve">the </w:t>
      </w:r>
      <w:r w:rsidRPr="0063711F">
        <w:rPr>
          <w:i/>
        </w:rPr>
        <w:t xml:space="preserve">Pharmacologic therapy for pulmonary arterial hypertension in adults: CHEST guideline and expert panel report </w:t>
      </w:r>
      <w:r w:rsidRPr="0063711F">
        <w:t>(American College of Chest Physicians,</w:t>
      </w:r>
      <w:r w:rsidRPr="0063711F" w:rsidDel="006F16C6">
        <w:t xml:space="preserve"> </w:t>
      </w:r>
      <w:r w:rsidRPr="0063711F">
        <w:t>2014)</w:t>
      </w:r>
      <w:r w:rsidRPr="0063711F">
        <w:rPr>
          <w:i/>
        </w:rPr>
        <w:t xml:space="preserve">, </w:t>
      </w:r>
      <w:r w:rsidRPr="0063711F">
        <w:t xml:space="preserve">and </w:t>
      </w:r>
    </w:p>
    <w:p w:rsidR="006D2935" w:rsidRPr="0063711F" w:rsidRDefault="006D2935" w:rsidP="001960CE">
      <w:pPr>
        <w:pStyle w:val="ListParagraph"/>
        <w:numPr>
          <w:ilvl w:val="0"/>
          <w:numId w:val="32"/>
        </w:numPr>
        <w:spacing w:before="120" w:after="360"/>
        <w:ind w:left="425" w:hanging="425"/>
        <w:jc w:val="left"/>
        <w:rPr>
          <w:b/>
        </w:rPr>
      </w:pPr>
      <w:r w:rsidRPr="0063711F">
        <w:rPr>
          <w:rFonts w:cstheme="minorHAnsi"/>
          <w:i/>
        </w:rPr>
        <w:t xml:space="preserve">Drugs for Pulmonary Arterial Hypertension: Comparative Efficacy, Safety, and Cost-Effectiveness — Recommendations Report </w:t>
      </w:r>
      <w:r w:rsidRPr="0063711F">
        <w:rPr>
          <w:rFonts w:cstheme="minorHAnsi"/>
        </w:rPr>
        <w:t>(Canadian Agency for Drugs and Technologies in Health 2015)</w:t>
      </w:r>
      <w:r w:rsidRPr="0063711F">
        <w:rPr>
          <w:rFonts w:cstheme="minorHAnsi"/>
          <w:i/>
        </w:rPr>
        <w:t>.</w:t>
      </w:r>
    </w:p>
    <w:p w:rsidR="006B7E87" w:rsidRPr="00196A47" w:rsidRDefault="006B7E87" w:rsidP="00C21496">
      <w:pPr>
        <w:pStyle w:val="ToRText"/>
        <w:shd w:val="clear" w:color="auto" w:fill="F2F2F2" w:themeFill="background1" w:themeFillShade="F2"/>
        <w:rPr>
          <w:b w:val="0"/>
          <w:color w:val="auto"/>
        </w:rPr>
      </w:pPr>
      <w:bookmarkStart w:id="29" w:name="_Ref508900254"/>
      <w:bookmarkStart w:id="30" w:name="_Toc508969649"/>
      <w:bookmarkEnd w:id="22"/>
      <w:bookmarkEnd w:id="23"/>
      <w:bookmarkEnd w:id="24"/>
      <w:bookmarkEnd w:id="25"/>
      <w:bookmarkEnd w:id="26"/>
      <w:r w:rsidRPr="00196A47">
        <w:rPr>
          <w:b w:val="0"/>
          <w:color w:val="auto"/>
        </w:rPr>
        <w:t>Q2.</w:t>
      </w:r>
      <w:r w:rsidRPr="00196A47">
        <w:rPr>
          <w:b w:val="0"/>
          <w:color w:val="auto"/>
        </w:rPr>
        <w:tab/>
        <w:t>Are the current PBS restrictions for PAH medicines, the TGA-approved indications and the recommendations from clinical guidelines consistent?</w:t>
      </w:r>
    </w:p>
    <w:p w:rsidR="006B7E87" w:rsidRDefault="00EA0855" w:rsidP="00C125B8">
      <w:pPr>
        <w:pStyle w:val="Heading3"/>
        <w:rPr>
          <w:rStyle w:val="Heading4Char"/>
        </w:rPr>
      </w:pPr>
      <w:bookmarkStart w:id="31" w:name="_Toc513110233"/>
      <w:r>
        <w:t>Key findings</w:t>
      </w:r>
      <w:r w:rsidR="00A60FA0">
        <w:t xml:space="preserve"> – Research Question 2</w:t>
      </w:r>
      <w:bookmarkEnd w:id="31"/>
    </w:p>
    <w:p w:rsidR="006D2935" w:rsidRPr="006D2935" w:rsidRDefault="006D2935" w:rsidP="00C21496">
      <w:pPr>
        <w:pStyle w:val="BodyTextnospacebefore"/>
        <w:jc w:val="left"/>
      </w:pPr>
      <w:r w:rsidRPr="006D2935">
        <w:t>The key differences between guideline recommendations and PBS restrictions are:</w:t>
      </w:r>
    </w:p>
    <w:p w:rsidR="006D2935" w:rsidRPr="006D2935" w:rsidRDefault="006D2935" w:rsidP="001960CE">
      <w:pPr>
        <w:pStyle w:val="ListParagraph"/>
        <w:numPr>
          <w:ilvl w:val="0"/>
          <w:numId w:val="33"/>
        </w:numPr>
        <w:jc w:val="left"/>
      </w:pPr>
      <w:r w:rsidRPr="006D2935">
        <w:t>The PBS restrictions limit the use of PAH medicines to patients in WHO FC III-IV.  Guidelines recommend treatment of patients in WHO FC II-IV. TGA indications for PAH</w:t>
      </w:r>
      <w:r w:rsidR="00C21496">
        <w:t xml:space="preserve"> medicines cover WHO FC II-IV.</w:t>
      </w:r>
    </w:p>
    <w:p w:rsidR="006D2935" w:rsidRPr="006D2935" w:rsidRDefault="006D2935" w:rsidP="001960CE">
      <w:pPr>
        <w:pStyle w:val="ListParagraph"/>
        <w:numPr>
          <w:ilvl w:val="0"/>
          <w:numId w:val="33"/>
        </w:numPr>
        <w:jc w:val="left"/>
      </w:pPr>
      <w:r w:rsidRPr="006D2935">
        <w:t xml:space="preserve">Guidelines recommend initial treatment with initial combination therapy for patients in WHO III-IV with high risk factors. In contrast to the CHEST guideline, the ERS/ERC guidelines also recommend initial oral combination therapy as an option for patients in WHO FC II. The PBS restrictions limit the use of PAH medicines to one PAH medicine at any a time (the PAH agent is the sole subsidised agent for this condition) in FC III-IV. </w:t>
      </w:r>
    </w:p>
    <w:p w:rsidR="006D2935" w:rsidRPr="006D2935" w:rsidRDefault="006D2935" w:rsidP="001960CE">
      <w:pPr>
        <w:pStyle w:val="ListParagraph"/>
        <w:numPr>
          <w:ilvl w:val="0"/>
          <w:numId w:val="33"/>
        </w:numPr>
        <w:jc w:val="left"/>
      </w:pPr>
      <w:r w:rsidRPr="006D2935">
        <w:t xml:space="preserve">Guidelines also recommend sequential combination therapy for patients with an inadequate </w:t>
      </w:r>
      <w:r w:rsidR="00C21496">
        <w:t>clinical response to treatment.</w:t>
      </w:r>
      <w:r w:rsidRPr="006D2935">
        <w:t xml:space="preserve"> Patients continue on their existing agent and add another agent as sequential combi</w:t>
      </w:r>
      <w:r w:rsidR="00C21496">
        <w:t xml:space="preserve">nation, up to three medicines. </w:t>
      </w:r>
      <w:r w:rsidRPr="006D2935">
        <w:t>TGA listings include combination use for ambrisentan with tadalafil, macitentan with PDE-5 inhibitor or iloprost, and riociguat with ERA or iloprost.</w:t>
      </w:r>
    </w:p>
    <w:p w:rsidR="006D2935" w:rsidRPr="006D2935" w:rsidRDefault="006D2935" w:rsidP="001960CE">
      <w:pPr>
        <w:pStyle w:val="ListParagraph"/>
        <w:numPr>
          <w:ilvl w:val="0"/>
          <w:numId w:val="33"/>
        </w:numPr>
        <w:jc w:val="left"/>
      </w:pPr>
      <w:r w:rsidRPr="006D2935">
        <w:t>Response to treatment is defined in guidelines as clinical improvement and/or progr</w:t>
      </w:r>
      <w:r w:rsidR="00C21496">
        <w:t xml:space="preserve">ess towards therapeutic goals. </w:t>
      </w:r>
      <w:r w:rsidRPr="006D2935">
        <w:t xml:space="preserve">PBS restrictions define response to treatment as stability or improvement of disease. </w:t>
      </w:r>
    </w:p>
    <w:p w:rsidR="006D2935" w:rsidRPr="006D2935" w:rsidRDefault="006D2935" w:rsidP="001960CE">
      <w:pPr>
        <w:pStyle w:val="ListParagraph"/>
        <w:numPr>
          <w:ilvl w:val="0"/>
          <w:numId w:val="33"/>
        </w:numPr>
        <w:jc w:val="left"/>
      </w:pPr>
      <w:r w:rsidRPr="006D2935">
        <w:lastRenderedPageBreak/>
        <w:t>Clinical criteria in PBS restrictions and TGA indications specify both PAH subtype and WHO FC for each PAH medicine, while guideline recommendations are based on medicine class, not individual medicines and make no suggestions as to the line of therapy. In contrast to guidelines recommendation, for example, prostanoids are neither TGA registered nor PBS-listed for PAH associated with congenital heart disease (</w:t>
      </w:r>
      <w:proofErr w:type="gramStart"/>
      <w:r w:rsidRPr="006D2935">
        <w:t>PAH-CHD),</w:t>
      </w:r>
      <w:proofErr w:type="gramEnd"/>
      <w:r w:rsidRPr="006D2935">
        <w:t xml:space="preserve"> and PDE-5 inhibitors not for WHO FC IV.</w:t>
      </w:r>
    </w:p>
    <w:p w:rsidR="006D2935" w:rsidRPr="006D2935" w:rsidRDefault="006D2935" w:rsidP="001960CE">
      <w:pPr>
        <w:pStyle w:val="ListParagraph"/>
        <w:numPr>
          <w:ilvl w:val="0"/>
          <w:numId w:val="33"/>
        </w:numPr>
        <w:jc w:val="left"/>
      </w:pPr>
      <w:r w:rsidRPr="006D2935">
        <w:t>There are no PBS-listed medicines for certain PAH subtypes: PAH associated with human immunodeficiency virus (PAH-HIV), associated with portal hypertension or associated with schistosomiasis.</w:t>
      </w:r>
    </w:p>
    <w:p w:rsidR="006D2935" w:rsidRPr="006D2935" w:rsidRDefault="006D2935" w:rsidP="001960CE">
      <w:pPr>
        <w:pStyle w:val="ListParagraph"/>
        <w:numPr>
          <w:ilvl w:val="0"/>
          <w:numId w:val="33"/>
        </w:numPr>
        <w:jc w:val="left"/>
      </w:pPr>
      <w:r w:rsidRPr="006D2935">
        <w:t>The current terminology of PAH types in the TGA indications and PBS restrictions are inconsistent with the latest WHO classification scheme for</w:t>
      </w:r>
      <w:r w:rsidR="00CD64AB">
        <w:t xml:space="preserve"> pulmonary hypertension and PAH</w:t>
      </w:r>
      <w:r w:rsidRPr="006D2935">
        <w:t>.</w:t>
      </w:r>
    </w:p>
    <w:p w:rsidR="006D2935" w:rsidRPr="006D2935" w:rsidRDefault="006D2935" w:rsidP="001960CE">
      <w:pPr>
        <w:pStyle w:val="ListParagraph"/>
        <w:numPr>
          <w:ilvl w:val="0"/>
          <w:numId w:val="33"/>
        </w:numPr>
        <w:jc w:val="left"/>
      </w:pPr>
      <w:r w:rsidRPr="006D2935">
        <w:t>PBS restrictions mostly fall within TGA-approved indications of PAH medicines, except PBS-listings for drug and toxin induced PAH (PAH-DT), and ambrisentan and ilo</w:t>
      </w:r>
      <w:r w:rsidR="004A0E15">
        <w:t>prost for heritable PAH (HPAH).</w:t>
      </w:r>
    </w:p>
    <w:p w:rsidR="006D2935" w:rsidRPr="006D2935" w:rsidRDefault="006D2935" w:rsidP="001960CE">
      <w:pPr>
        <w:pStyle w:val="ListParagraph"/>
        <w:numPr>
          <w:ilvl w:val="0"/>
          <w:numId w:val="33"/>
        </w:numPr>
        <w:jc w:val="left"/>
      </w:pPr>
      <w:r w:rsidRPr="006D2935">
        <w:t>Guidelines recommend vasodilator treatment for patients with IPAH, HPAH and PAH-DT (but not for PAH-CTD) and who also have a positive response to an acute vasoreactivity test during RHC. The PBS restrictions however, require vasodilator treatment in WHO FC III patients with IPAH, HPAH, PAH-DT and PAH-CTD with a mean right atrial pressure (</w:t>
      </w:r>
      <w:proofErr w:type="spellStart"/>
      <w:r w:rsidRPr="006D2935">
        <w:t>mRAP</w:t>
      </w:r>
      <w:proofErr w:type="spellEnd"/>
      <w:r w:rsidRPr="006D2935">
        <w:t>) of 8m</w:t>
      </w:r>
      <w:r w:rsidR="004A0E15">
        <w:t>mHg of less as measured by RHC.</w:t>
      </w:r>
    </w:p>
    <w:p w:rsidR="006D2935" w:rsidRPr="006D2935" w:rsidRDefault="006D2935" w:rsidP="001960CE">
      <w:pPr>
        <w:pStyle w:val="ListParagraph"/>
        <w:numPr>
          <w:ilvl w:val="0"/>
          <w:numId w:val="33"/>
        </w:numPr>
        <w:jc w:val="left"/>
      </w:pPr>
      <w:r w:rsidRPr="006D2935">
        <w:t xml:space="preserve">Guidelines define a positive response to an acute vasoreactivity test during RHC as a decrease in </w:t>
      </w:r>
      <w:proofErr w:type="spellStart"/>
      <w:r w:rsidRPr="006D2935">
        <w:t>mPAP</w:t>
      </w:r>
      <w:proofErr w:type="spellEnd"/>
      <w:r w:rsidRPr="006D2935">
        <w:t xml:space="preserve"> &gt;10 mm Hg, to a mean pulmonary arterial pressure (</w:t>
      </w:r>
      <w:proofErr w:type="spellStart"/>
      <w:r w:rsidRPr="006D2935">
        <w:t>mPAP</w:t>
      </w:r>
      <w:proofErr w:type="spellEnd"/>
      <w:r w:rsidRPr="006D2935">
        <w:t>) &lt;40 mm Hg, with no worsening of cardiac output. The PBS restrictions define the criteria for vasodilator treatment as being in FC III with mean right atrial pressure (</w:t>
      </w:r>
      <w:proofErr w:type="spellStart"/>
      <w:r w:rsidRPr="006D2935">
        <w:t>mRAP</w:t>
      </w:r>
      <w:proofErr w:type="spellEnd"/>
      <w:r w:rsidRPr="006D2935">
        <w:t>) of 8mmHg of less as measured by RHC. There are safety concerns surrounding vasodilator treatment without a positive response to an acute vasodilator test.</w:t>
      </w:r>
    </w:p>
    <w:p w:rsidR="006D2935" w:rsidRPr="006D2935" w:rsidRDefault="006D2935" w:rsidP="001960CE">
      <w:pPr>
        <w:pStyle w:val="ListParagraph"/>
        <w:numPr>
          <w:ilvl w:val="0"/>
          <w:numId w:val="33"/>
        </w:numPr>
        <w:jc w:val="left"/>
      </w:pPr>
      <w:r w:rsidRPr="006D2935">
        <w:t xml:space="preserve">Vasodilator treatment should lead to dramatic clinical improvements with the first months of treatment. Close follow-up with complete reassessment is recommended after three to four months of therapy (including RHC). The PBS restrictions require a detail from a trial of minimum six weeks duration. </w:t>
      </w:r>
    </w:p>
    <w:p w:rsidR="006D2935" w:rsidRPr="006D2935" w:rsidRDefault="006D2935" w:rsidP="001960CE">
      <w:pPr>
        <w:pStyle w:val="ListParagraph"/>
        <w:numPr>
          <w:ilvl w:val="0"/>
          <w:numId w:val="33"/>
        </w:numPr>
        <w:jc w:val="left"/>
      </w:pPr>
      <w:r w:rsidRPr="006D2935">
        <w:t>Guideline recommend additional therapy with PAH medicines, if the patient does not show an adequate response to vasodilator therapy, defined as being in WHO-FC I-II and with a marked haemodynamic improvement (near normalisation).</w:t>
      </w:r>
    </w:p>
    <w:p w:rsidR="00166AC7" w:rsidRDefault="006D2935" w:rsidP="001960CE">
      <w:pPr>
        <w:pStyle w:val="ListParagraph"/>
        <w:numPr>
          <w:ilvl w:val="0"/>
          <w:numId w:val="33"/>
        </w:numPr>
        <w:jc w:val="left"/>
      </w:pPr>
      <w:r w:rsidRPr="006D2935">
        <w:t>Guideline recommendations for hypertension referral centres specify annual patient numbers as centres with a high volume of patients tend to obtain the best outcomes.</w:t>
      </w:r>
    </w:p>
    <w:p w:rsidR="00166AC7" w:rsidRDefault="00166AC7" w:rsidP="001E33D0">
      <w:pPr>
        <w:jc w:val="left"/>
      </w:pPr>
      <w:r>
        <w:br w:type="page"/>
      </w:r>
    </w:p>
    <w:p w:rsidR="006B7E87" w:rsidRPr="00196A47" w:rsidRDefault="006B7E87" w:rsidP="00C21496">
      <w:pPr>
        <w:pStyle w:val="ToRText"/>
        <w:shd w:val="clear" w:color="auto" w:fill="F2F2F2" w:themeFill="background1" w:themeFillShade="F2"/>
        <w:rPr>
          <w:b w:val="0"/>
          <w:color w:val="auto"/>
        </w:rPr>
      </w:pPr>
      <w:r w:rsidRPr="00196A47">
        <w:rPr>
          <w:b w:val="0"/>
          <w:color w:val="auto"/>
        </w:rPr>
        <w:lastRenderedPageBreak/>
        <w:t>Q3.</w:t>
      </w:r>
      <w:r w:rsidRPr="00196A47">
        <w:rPr>
          <w:b w:val="0"/>
          <w:color w:val="auto"/>
        </w:rPr>
        <w:tab/>
        <w:t>Are the current diagnostic and prognostic criteria in PBS restrictions for patients with PAH consistent with Australian and international guidelines?</w:t>
      </w:r>
    </w:p>
    <w:p w:rsidR="00EA0855" w:rsidRPr="00CD4132" w:rsidRDefault="00EA0855" w:rsidP="00CD4132">
      <w:pPr>
        <w:pStyle w:val="Heading3"/>
      </w:pPr>
      <w:bookmarkStart w:id="32" w:name="_Toc513110234"/>
      <w:r>
        <w:t>Key findings</w:t>
      </w:r>
      <w:r w:rsidR="00A60FA0">
        <w:t xml:space="preserve"> – Research Question 3</w:t>
      </w:r>
      <w:bookmarkEnd w:id="32"/>
    </w:p>
    <w:p w:rsidR="006D2935" w:rsidRPr="006D2935" w:rsidRDefault="006D2935" w:rsidP="001960CE">
      <w:pPr>
        <w:pStyle w:val="ListParagraph"/>
        <w:numPr>
          <w:ilvl w:val="0"/>
          <w:numId w:val="33"/>
        </w:numPr>
        <w:jc w:val="left"/>
      </w:pPr>
      <w:r w:rsidRPr="006D2935">
        <w:t xml:space="preserve">Current PBS restrictions specify three diagnostic assessments at baseline and first continuation for PAH treatment subsidy: </w:t>
      </w:r>
      <w:r w:rsidR="00CD64AB">
        <w:t>RHC, 6MWD and echocardiography.</w:t>
      </w:r>
    </w:p>
    <w:p w:rsidR="006D2935" w:rsidRPr="00112C29" w:rsidRDefault="006D2935" w:rsidP="001960CE">
      <w:pPr>
        <w:pStyle w:val="ListParagraph"/>
        <w:numPr>
          <w:ilvl w:val="0"/>
          <w:numId w:val="33"/>
        </w:numPr>
        <w:jc w:val="left"/>
      </w:pPr>
      <w:r w:rsidRPr="00112C29">
        <w:t>Based on guideline recommendations, the assessments that form the basis of treatment choices would include an assessment of the patient’s risk of PAH deterioration based on a suite of parameters taken at baseline, and which provide the basis for monitoring and follow-up. However there is no definitive set of parameters for patient risk assessment.</w:t>
      </w:r>
    </w:p>
    <w:p w:rsidR="006D2935" w:rsidRPr="00112C29" w:rsidRDefault="006D2935" w:rsidP="001960CE">
      <w:pPr>
        <w:pStyle w:val="ListParagraph"/>
        <w:numPr>
          <w:ilvl w:val="0"/>
          <w:numId w:val="33"/>
        </w:numPr>
        <w:jc w:val="left"/>
      </w:pPr>
      <w:r w:rsidRPr="00112C29">
        <w:t xml:space="preserve">PAH treatment decisions without RHC are not recommended unless RHC is contraindicated. Where RHC is unavailable or contraindicated, the current PBS restriction defines PAH as right ventricular systolic pressure (RVSP), assessed by echocardiography (ECHO), greater than 40 mmHg, with normal left ventricular function. The guidelines recommend measurement of peak Tricuspid Regurgitation Velocity (TRV) as the key </w:t>
      </w:r>
      <w:proofErr w:type="spellStart"/>
      <w:r w:rsidRPr="00112C29">
        <w:t>cardiographic</w:t>
      </w:r>
      <w:proofErr w:type="spellEnd"/>
      <w:r w:rsidRPr="00112C29">
        <w:t xml:space="preserve"> variable predictive of PAH. PAH is likely if TRV is ≥2.9ms−1 and additional echocardiographic variables suggestive of PH are present, or if TRV is ≥3.4 m·s−1 with no other signs. Other variables include measures for the ventricles, the pulmonary artery and the inferior vena cava and right atrium</w:t>
      </w:r>
      <w:r w:rsidR="006B7E87" w:rsidRPr="00112C29">
        <w:t>, which i</w:t>
      </w:r>
      <w:r w:rsidRPr="00112C29">
        <w:t>n the absence of TRV</w:t>
      </w:r>
      <w:r w:rsidR="006651AD">
        <w:t>, can also be indicative</w:t>
      </w:r>
      <w:r w:rsidR="006B7E87" w:rsidRPr="00112C29">
        <w:t xml:space="preserve"> of PAH</w:t>
      </w:r>
      <w:r w:rsidR="00146FA9">
        <w:t xml:space="preserve"> are given in ToR </w:t>
      </w:r>
      <w:r w:rsidR="004E5298">
        <w:t>1</w:t>
      </w:r>
      <w:r w:rsidR="00146FA9">
        <w:t xml:space="preserve">, Table 1.9, </w:t>
      </w:r>
      <w:proofErr w:type="gramStart"/>
      <w:r w:rsidR="00146FA9">
        <w:t>p.54</w:t>
      </w:r>
      <w:proofErr w:type="gramEnd"/>
      <w:r w:rsidR="00146FA9">
        <w:t xml:space="preserve">. </w:t>
      </w:r>
    </w:p>
    <w:p w:rsidR="00257F1A" w:rsidRPr="00257F1A" w:rsidRDefault="00257F1A" w:rsidP="00C21496">
      <w:pPr>
        <w:pStyle w:val="BodyTextnospacebefore"/>
        <w:jc w:val="left"/>
      </w:pPr>
      <w:r>
        <w:t>A comparison between PBS restrictions, TGA indications and guideline recommendations is</w:t>
      </w:r>
      <w:r w:rsidRPr="00257F1A">
        <w:t xml:space="preserve"> shown in </w:t>
      </w:r>
      <w:r w:rsidR="00CC79E1">
        <w:t>Table ES.</w:t>
      </w:r>
      <w:r w:rsidR="00CC79E1">
        <w:rPr>
          <w:noProof/>
        </w:rPr>
        <w:t>4</w:t>
      </w:r>
      <w:r w:rsidR="00C51109">
        <w:t xml:space="preserve"> </w:t>
      </w:r>
      <w:r w:rsidR="00D6795A">
        <w:t>below</w:t>
      </w:r>
      <w:r w:rsidRPr="00257F1A">
        <w:t>.</w:t>
      </w:r>
    </w:p>
    <w:bookmarkEnd w:id="29"/>
    <w:bookmarkEnd w:id="30"/>
    <w:p w:rsidR="0072798C" w:rsidRPr="009F466A" w:rsidRDefault="0072798C" w:rsidP="00C21496">
      <w:pPr>
        <w:jc w:val="left"/>
      </w:pPr>
    </w:p>
    <w:p w:rsidR="002B3771" w:rsidRPr="009F466A" w:rsidRDefault="002B3771" w:rsidP="00C21496">
      <w:pPr>
        <w:jc w:val="left"/>
        <w:sectPr w:rsidR="002B3771" w:rsidRPr="009F466A" w:rsidSect="006D2935">
          <w:endnotePr>
            <w:numFmt w:val="decimal"/>
          </w:endnotePr>
          <w:pgSz w:w="11906" w:h="16838"/>
          <w:pgMar w:top="1134" w:right="1134" w:bottom="1134" w:left="1701" w:header="709" w:footer="709" w:gutter="0"/>
          <w:cols w:space="708"/>
          <w:titlePg/>
          <w:docGrid w:linePitch="360"/>
        </w:sectPr>
      </w:pPr>
    </w:p>
    <w:p w:rsidR="002B3771" w:rsidRPr="009F466A" w:rsidRDefault="00E30026" w:rsidP="00C21496">
      <w:pPr>
        <w:pStyle w:val="Caption"/>
        <w:jc w:val="left"/>
      </w:pPr>
      <w:bookmarkStart w:id="33" w:name="_Ref508895856"/>
      <w:bookmarkStart w:id="34" w:name="_Toc508969635"/>
      <w:bookmarkStart w:id="35" w:name="_Toc513108448"/>
      <w:r>
        <w:lastRenderedPageBreak/>
        <w:t>Table ES.</w:t>
      </w:r>
      <w:r w:rsidR="00CC79E1">
        <w:rPr>
          <w:noProof/>
        </w:rPr>
        <w:t>4</w:t>
      </w:r>
      <w:bookmarkEnd w:id="33"/>
      <w:bookmarkEnd w:id="34"/>
      <w:r w:rsidRPr="00E30026">
        <w:t xml:space="preserve"> </w:t>
      </w:r>
      <w:r w:rsidR="004A1130">
        <w:tab/>
      </w:r>
      <w:r>
        <w:t>Comparison of PBS restrictions, TGA indications and PAH guidelines</w:t>
      </w:r>
      <w:bookmarkEnd w:id="35"/>
    </w:p>
    <w:tbl>
      <w:tblPr>
        <w:tblStyle w:val="TableGrid"/>
        <w:tblW w:w="0" w:type="auto"/>
        <w:tblLook w:val="04A0" w:firstRow="1" w:lastRow="0" w:firstColumn="1" w:lastColumn="0" w:noHBand="0" w:noVBand="1"/>
        <w:tblCaption w:val="Table ES.4"/>
        <w:tblDescription w:val="Comparison of PBS restrictions, TGA indications and PAH guidelines"/>
      </w:tblPr>
      <w:tblGrid>
        <w:gridCol w:w="1706"/>
        <w:gridCol w:w="3364"/>
        <w:gridCol w:w="3827"/>
        <w:gridCol w:w="5071"/>
      </w:tblGrid>
      <w:tr w:rsidR="00196A47" w:rsidRPr="00196A47" w:rsidTr="00FF6202">
        <w:trPr>
          <w:trHeight w:val="492"/>
          <w:tblHeader/>
        </w:trPr>
        <w:tc>
          <w:tcPr>
            <w:tcW w:w="1706" w:type="dxa"/>
            <w:shd w:val="clear" w:color="auto" w:fill="BFBFBF" w:themeFill="background1" w:themeFillShade="BF"/>
            <w:vAlign w:val="center"/>
          </w:tcPr>
          <w:p w:rsidR="002B3771" w:rsidRPr="00196A47" w:rsidRDefault="002B3771" w:rsidP="00C21496">
            <w:pPr>
              <w:spacing w:before="60" w:after="60"/>
              <w:ind w:right="57"/>
              <w:contextualSpacing/>
              <w:jc w:val="left"/>
              <w:rPr>
                <w:rFonts w:ascii="Arial" w:hAnsi="Arial" w:cs="Arial"/>
                <w:b/>
              </w:rPr>
            </w:pPr>
            <w:r w:rsidRPr="00196A47">
              <w:rPr>
                <w:rFonts w:ascii="Arial" w:hAnsi="Arial" w:cs="Arial"/>
                <w:b/>
              </w:rPr>
              <w:t>Criterion</w:t>
            </w:r>
          </w:p>
        </w:tc>
        <w:tc>
          <w:tcPr>
            <w:tcW w:w="3364" w:type="dxa"/>
            <w:shd w:val="clear" w:color="auto" w:fill="BFBFBF" w:themeFill="background1" w:themeFillShade="BF"/>
            <w:vAlign w:val="center"/>
          </w:tcPr>
          <w:p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PBS Listings</w:t>
            </w:r>
          </w:p>
        </w:tc>
        <w:tc>
          <w:tcPr>
            <w:tcW w:w="3827" w:type="dxa"/>
            <w:shd w:val="clear" w:color="auto" w:fill="BFBFBF" w:themeFill="background1" w:themeFillShade="BF"/>
            <w:vAlign w:val="center"/>
          </w:tcPr>
          <w:p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TGA Status</w:t>
            </w:r>
          </w:p>
        </w:tc>
        <w:tc>
          <w:tcPr>
            <w:tcW w:w="5071" w:type="dxa"/>
            <w:shd w:val="clear" w:color="auto" w:fill="BFBFBF" w:themeFill="background1" w:themeFillShade="BF"/>
            <w:vAlign w:val="center"/>
          </w:tcPr>
          <w:p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PAH Guidelines</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WHO FC</w:t>
            </w:r>
          </w:p>
        </w:tc>
        <w:tc>
          <w:tcPr>
            <w:tcW w:w="3364" w:type="dxa"/>
          </w:tcPr>
          <w:p w:rsidR="002B3771" w:rsidRPr="00E47602" w:rsidRDefault="00A4503B" w:rsidP="00C21496">
            <w:pPr>
              <w:ind w:left="57" w:right="57"/>
              <w:contextualSpacing/>
              <w:jc w:val="left"/>
              <w:rPr>
                <w:rFonts w:ascii="Arial" w:hAnsi="Arial" w:cs="Arial"/>
              </w:rPr>
            </w:pPr>
            <w:r w:rsidRPr="00E47602">
              <w:rPr>
                <w:rFonts w:ascii="Arial" w:hAnsi="Arial" w:cs="Arial"/>
              </w:rPr>
              <w:t xml:space="preserve">Treatment for </w:t>
            </w:r>
            <w:r w:rsidR="002B3771" w:rsidRPr="00E47602">
              <w:rPr>
                <w:rFonts w:ascii="Arial" w:hAnsi="Arial" w:cs="Arial"/>
              </w:rPr>
              <w:t>WHO FC III-IV</w:t>
            </w:r>
            <w:r w:rsidRPr="00E47602">
              <w:rPr>
                <w:rFonts w:ascii="Arial" w:hAnsi="Arial" w:cs="Arial"/>
              </w:rPr>
              <w:t xml:space="preserve"> PAH</w:t>
            </w:r>
          </w:p>
          <w:p w:rsidR="002B3771" w:rsidRPr="00E47602" w:rsidRDefault="002B3771" w:rsidP="00C21496">
            <w:pPr>
              <w:ind w:right="57"/>
              <w:contextualSpacing/>
              <w:jc w:val="left"/>
              <w:rPr>
                <w:rFonts w:ascii="Arial" w:hAnsi="Arial" w:cs="Arial"/>
              </w:rPr>
            </w:pPr>
          </w:p>
        </w:tc>
        <w:tc>
          <w:tcPr>
            <w:tcW w:w="3827" w:type="dxa"/>
          </w:tcPr>
          <w:p w:rsidR="002B3771" w:rsidRPr="00E47602" w:rsidRDefault="002B3771" w:rsidP="00C21496">
            <w:pPr>
              <w:ind w:left="57" w:right="57"/>
              <w:contextualSpacing/>
              <w:jc w:val="left"/>
              <w:rPr>
                <w:rFonts w:ascii="Arial" w:hAnsi="Arial" w:cs="Arial"/>
              </w:rPr>
            </w:pPr>
            <w:r w:rsidRPr="00E47602">
              <w:rPr>
                <w:rFonts w:ascii="Arial" w:hAnsi="Arial" w:cs="Arial"/>
              </w:rPr>
              <w:t>P</w:t>
            </w:r>
            <w:r w:rsidR="00023A50" w:rsidRPr="00E47602">
              <w:rPr>
                <w:rFonts w:ascii="Arial" w:hAnsi="Arial" w:cs="Arial"/>
              </w:rPr>
              <w:t>rostanoids -</w:t>
            </w:r>
            <w:r w:rsidRPr="00E47602">
              <w:rPr>
                <w:rFonts w:ascii="Arial" w:hAnsi="Arial" w:cs="Arial"/>
              </w:rPr>
              <w:t xml:space="preserve"> WHO FC Class III-IV</w:t>
            </w:r>
          </w:p>
          <w:p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5i</w:t>
            </w:r>
            <w:r w:rsidRPr="00E47602">
              <w:rPr>
                <w:rFonts w:ascii="Arial" w:hAnsi="Arial" w:cs="Arial"/>
              </w:rPr>
              <w:t xml:space="preserve"> -</w:t>
            </w:r>
            <w:r w:rsidR="002B3771" w:rsidRPr="00E47602">
              <w:rPr>
                <w:rFonts w:ascii="Arial" w:hAnsi="Arial" w:cs="Arial"/>
              </w:rPr>
              <w:t xml:space="preserve"> WHO FC Class II-III</w:t>
            </w:r>
          </w:p>
          <w:p w:rsidR="002B3771" w:rsidRPr="00E47602" w:rsidRDefault="00023A50" w:rsidP="00C21496">
            <w:pPr>
              <w:ind w:left="57" w:right="57"/>
              <w:contextualSpacing/>
              <w:jc w:val="left"/>
              <w:rPr>
                <w:rFonts w:ascii="Arial" w:hAnsi="Arial" w:cs="Arial"/>
              </w:rPr>
            </w:pPr>
            <w:r w:rsidRPr="00E47602">
              <w:rPr>
                <w:rFonts w:ascii="Arial" w:hAnsi="Arial" w:cs="Arial"/>
              </w:rPr>
              <w:t>ERA -</w:t>
            </w:r>
            <w:r w:rsidR="002B3771" w:rsidRPr="00E47602">
              <w:rPr>
                <w:rFonts w:ascii="Arial" w:hAnsi="Arial" w:cs="Arial"/>
              </w:rPr>
              <w:t xml:space="preserve"> WHO FC II-IV</w:t>
            </w:r>
          </w:p>
          <w:p w:rsidR="002B3771" w:rsidRPr="00E47602" w:rsidRDefault="002B3771" w:rsidP="00C21496">
            <w:pPr>
              <w:ind w:left="57" w:right="57"/>
              <w:contextualSpacing/>
              <w:jc w:val="left"/>
              <w:rPr>
                <w:rFonts w:ascii="Arial" w:hAnsi="Arial" w:cs="Arial"/>
              </w:rPr>
            </w:pPr>
            <w:r w:rsidRPr="00E47602">
              <w:rPr>
                <w:rFonts w:ascii="Arial" w:hAnsi="Arial" w:cs="Arial"/>
              </w:rPr>
              <w:t>sGC stimulators</w:t>
            </w:r>
            <w:r w:rsidR="00023A50" w:rsidRPr="00E47602">
              <w:rPr>
                <w:rFonts w:ascii="Arial" w:hAnsi="Arial" w:cs="Arial"/>
              </w:rPr>
              <w:t xml:space="preserve"> -</w:t>
            </w:r>
            <w:r w:rsidRPr="00E47602">
              <w:rPr>
                <w:rFonts w:ascii="Arial" w:hAnsi="Arial" w:cs="Arial"/>
              </w:rPr>
              <w:t xml:space="preserve"> WHO FC II-IV</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Monitoring for WHO FC I </w:t>
            </w:r>
          </w:p>
          <w:p w:rsidR="002B3771" w:rsidRPr="00E47602" w:rsidRDefault="002B3771" w:rsidP="00C21496">
            <w:pPr>
              <w:ind w:left="57" w:right="57"/>
              <w:contextualSpacing/>
              <w:jc w:val="left"/>
              <w:rPr>
                <w:rFonts w:ascii="Arial" w:hAnsi="Arial" w:cs="Arial"/>
              </w:rPr>
            </w:pPr>
            <w:r w:rsidRPr="00E47602">
              <w:rPr>
                <w:rFonts w:ascii="Arial" w:hAnsi="Arial" w:cs="Arial"/>
              </w:rPr>
              <w:t>Oral agents for WHO FC II</w:t>
            </w:r>
          </w:p>
          <w:p w:rsidR="002B3771" w:rsidRPr="00E47602" w:rsidRDefault="002B3771" w:rsidP="00C21496">
            <w:pPr>
              <w:ind w:left="57" w:right="57"/>
              <w:contextualSpacing/>
              <w:jc w:val="left"/>
              <w:rPr>
                <w:rFonts w:ascii="Arial" w:hAnsi="Arial" w:cs="Arial"/>
              </w:rPr>
            </w:pPr>
            <w:r w:rsidRPr="00E47602">
              <w:rPr>
                <w:rFonts w:ascii="Arial" w:hAnsi="Arial" w:cs="Arial"/>
              </w:rPr>
              <w:t>Oral agents or prostanoids for WHO FC III-IV</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Oral PAH medicines place in therapy</w:t>
            </w:r>
          </w:p>
        </w:tc>
        <w:tc>
          <w:tcPr>
            <w:tcW w:w="3364" w:type="dxa"/>
          </w:tcPr>
          <w:p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w:t>
            </w:r>
            <w:r w:rsidRPr="00E47602">
              <w:rPr>
                <w:rFonts w:ascii="Arial" w:hAnsi="Arial" w:cs="Arial"/>
              </w:rPr>
              <w:t>i</w:t>
            </w:r>
            <w:r w:rsidR="002B3771" w:rsidRPr="00E47602">
              <w:rPr>
                <w:rFonts w:ascii="Arial" w:hAnsi="Arial" w:cs="Arial"/>
              </w:rPr>
              <w:t xml:space="preserve"> </w:t>
            </w:r>
            <w:r w:rsidR="00A4503B" w:rsidRPr="00E47602">
              <w:rPr>
                <w:rFonts w:ascii="Arial" w:hAnsi="Arial" w:cs="Arial"/>
              </w:rPr>
              <w:t>-</w:t>
            </w:r>
            <w:r w:rsidR="002B3771" w:rsidRPr="00E47602">
              <w:rPr>
                <w:rFonts w:ascii="Arial" w:hAnsi="Arial" w:cs="Arial"/>
              </w:rPr>
              <w:t xml:space="preserve"> WHO FC III</w:t>
            </w:r>
          </w:p>
          <w:p w:rsidR="00023A50" w:rsidRPr="00E47602" w:rsidRDefault="00023A50" w:rsidP="00C21496">
            <w:pPr>
              <w:ind w:left="57" w:right="57"/>
              <w:contextualSpacing/>
              <w:jc w:val="left"/>
              <w:rPr>
                <w:rFonts w:ascii="Arial" w:hAnsi="Arial" w:cs="Arial"/>
              </w:rPr>
            </w:pPr>
            <w:r w:rsidRPr="00E47602">
              <w:rPr>
                <w:rFonts w:ascii="Arial" w:hAnsi="Arial" w:cs="Arial"/>
              </w:rPr>
              <w:t>ERA</w:t>
            </w:r>
            <w:r w:rsidR="00A4503B" w:rsidRPr="00E47602">
              <w:rPr>
                <w:rFonts w:ascii="Arial" w:hAnsi="Arial" w:cs="Arial"/>
              </w:rPr>
              <w:t xml:space="preserve"> - WHO FC III-IV </w:t>
            </w:r>
          </w:p>
          <w:p w:rsidR="002B3771" w:rsidRPr="00E47602" w:rsidRDefault="002B3771" w:rsidP="00C21496">
            <w:pPr>
              <w:ind w:left="57" w:right="57"/>
              <w:contextualSpacing/>
              <w:jc w:val="left"/>
              <w:rPr>
                <w:rFonts w:ascii="Arial" w:hAnsi="Arial" w:cs="Arial"/>
              </w:rPr>
            </w:pPr>
            <w:r w:rsidRPr="00E47602">
              <w:rPr>
                <w:rFonts w:ascii="Arial" w:hAnsi="Arial" w:cs="Arial"/>
              </w:rPr>
              <w:t xml:space="preserve">sGC stimulator </w:t>
            </w:r>
            <w:r w:rsidR="00A4503B" w:rsidRPr="00E47602">
              <w:rPr>
                <w:rFonts w:ascii="Arial" w:hAnsi="Arial" w:cs="Arial"/>
              </w:rPr>
              <w:t>-</w:t>
            </w:r>
            <w:r w:rsidRPr="00E47602">
              <w:rPr>
                <w:rFonts w:ascii="Arial" w:hAnsi="Arial" w:cs="Arial"/>
              </w:rPr>
              <w:t xml:space="preserve"> WHO FC III-IV</w:t>
            </w:r>
          </w:p>
        </w:tc>
        <w:tc>
          <w:tcPr>
            <w:tcW w:w="3827" w:type="dxa"/>
          </w:tcPr>
          <w:p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w:t>
            </w:r>
            <w:r w:rsidRPr="00E47602">
              <w:rPr>
                <w:rFonts w:ascii="Arial" w:hAnsi="Arial" w:cs="Arial"/>
              </w:rPr>
              <w:t>i -</w:t>
            </w:r>
            <w:r w:rsidR="002B3771" w:rsidRPr="00E47602">
              <w:rPr>
                <w:rFonts w:ascii="Arial" w:hAnsi="Arial" w:cs="Arial"/>
              </w:rPr>
              <w:t xml:space="preserve"> WHO FC Class II-III</w:t>
            </w:r>
          </w:p>
          <w:p w:rsidR="002B3771" w:rsidRPr="00E47602" w:rsidRDefault="00023A50" w:rsidP="00C21496">
            <w:pPr>
              <w:ind w:left="57" w:right="57"/>
              <w:contextualSpacing/>
              <w:jc w:val="left"/>
              <w:rPr>
                <w:rFonts w:ascii="Arial" w:hAnsi="Arial" w:cs="Arial"/>
              </w:rPr>
            </w:pPr>
            <w:r w:rsidRPr="00E47602">
              <w:rPr>
                <w:rFonts w:ascii="Arial" w:hAnsi="Arial" w:cs="Arial"/>
              </w:rPr>
              <w:t>ERA -</w:t>
            </w:r>
            <w:r w:rsidR="002B3771" w:rsidRPr="00E47602">
              <w:rPr>
                <w:rFonts w:ascii="Arial" w:hAnsi="Arial" w:cs="Arial"/>
              </w:rPr>
              <w:t xml:space="preserve"> WHO FC II-IV</w:t>
            </w:r>
          </w:p>
          <w:p w:rsidR="002B3771" w:rsidRPr="00E47602" w:rsidRDefault="002B3771" w:rsidP="00C21496">
            <w:pPr>
              <w:ind w:left="57" w:right="57"/>
              <w:contextualSpacing/>
              <w:jc w:val="left"/>
              <w:rPr>
                <w:rFonts w:ascii="Arial" w:hAnsi="Arial" w:cs="Arial"/>
              </w:rPr>
            </w:pPr>
            <w:r w:rsidRPr="00E47602">
              <w:rPr>
                <w:rFonts w:ascii="Arial" w:hAnsi="Arial" w:cs="Arial"/>
              </w:rPr>
              <w:t>s</w:t>
            </w:r>
            <w:r w:rsidR="00023A50" w:rsidRPr="00E47602">
              <w:rPr>
                <w:rFonts w:ascii="Arial" w:hAnsi="Arial" w:cs="Arial"/>
              </w:rPr>
              <w:t>GC stimulator -</w:t>
            </w:r>
            <w:r w:rsidRPr="00E47602">
              <w:rPr>
                <w:rFonts w:ascii="Arial" w:hAnsi="Arial" w:cs="Arial"/>
              </w:rPr>
              <w:t xml:space="preserve"> WHO FC II-IV</w:t>
            </w:r>
          </w:p>
        </w:tc>
        <w:tc>
          <w:tcPr>
            <w:tcW w:w="5071" w:type="dxa"/>
          </w:tcPr>
          <w:p w:rsidR="002B3771" w:rsidRPr="00E47602" w:rsidRDefault="00A4503B" w:rsidP="00C21496">
            <w:pPr>
              <w:ind w:left="57" w:right="57"/>
              <w:contextualSpacing/>
              <w:jc w:val="left"/>
              <w:rPr>
                <w:rFonts w:ascii="Arial" w:hAnsi="Arial" w:cs="Arial"/>
              </w:rPr>
            </w:pPr>
            <w:r w:rsidRPr="00E47602">
              <w:rPr>
                <w:rFonts w:ascii="Arial" w:hAnsi="Arial" w:cs="Arial"/>
              </w:rPr>
              <w:t>Standard of care (</w:t>
            </w:r>
            <w:proofErr w:type="spellStart"/>
            <w:r w:rsidRPr="00E47602">
              <w:rPr>
                <w:rFonts w:ascii="Arial" w:hAnsi="Arial" w:cs="Arial"/>
              </w:rPr>
              <w:t>SoC</w:t>
            </w:r>
            <w:proofErr w:type="spellEnd"/>
            <w:r w:rsidRPr="00E47602">
              <w:rPr>
                <w:rFonts w:ascii="Arial" w:hAnsi="Arial" w:cs="Arial"/>
              </w:rPr>
              <w:t>)</w:t>
            </w:r>
            <w:r w:rsidR="002B3771" w:rsidRPr="00E47602">
              <w:rPr>
                <w:rFonts w:ascii="Arial" w:hAnsi="Arial" w:cs="Arial"/>
              </w:rPr>
              <w:t xml:space="preserve"> for WHO FC II-III</w:t>
            </w:r>
          </w:p>
          <w:p w:rsidR="002B3771" w:rsidRPr="00E47602" w:rsidRDefault="002B3771" w:rsidP="00C21496">
            <w:pPr>
              <w:ind w:left="57" w:right="57"/>
              <w:contextualSpacing/>
              <w:jc w:val="left"/>
              <w:rPr>
                <w:rFonts w:ascii="Arial" w:hAnsi="Arial" w:cs="Arial"/>
              </w:rPr>
            </w:pPr>
            <w:r w:rsidRPr="00E47602">
              <w:rPr>
                <w:rFonts w:ascii="Arial" w:hAnsi="Arial" w:cs="Arial"/>
              </w:rPr>
              <w:t>In combination with other oral agents or prostanoids for WHO FC IV</w:t>
            </w:r>
          </w:p>
          <w:p w:rsidR="002B3771" w:rsidRPr="00E47602" w:rsidRDefault="002B3771" w:rsidP="00C21496">
            <w:pPr>
              <w:ind w:left="57" w:right="57"/>
              <w:contextualSpacing/>
              <w:jc w:val="left"/>
              <w:rPr>
                <w:rFonts w:ascii="Arial" w:hAnsi="Arial" w:cs="Arial"/>
              </w:rPr>
            </w:pPr>
            <w:r w:rsidRPr="00E47602">
              <w:rPr>
                <w:rFonts w:ascii="Arial" w:hAnsi="Arial" w:cs="Arial"/>
              </w:rPr>
              <w:t>No recommendations based on line of therapy (1</w:t>
            </w:r>
            <w:r w:rsidRPr="00E47602">
              <w:rPr>
                <w:rFonts w:ascii="Arial" w:hAnsi="Arial" w:cs="Arial"/>
                <w:vertAlign w:val="superscript"/>
              </w:rPr>
              <w:t>st</w:t>
            </w:r>
            <w:r w:rsidRPr="00E47602">
              <w:rPr>
                <w:rFonts w:ascii="Arial" w:hAnsi="Arial" w:cs="Arial"/>
              </w:rPr>
              <w:t xml:space="preserve"> line </w:t>
            </w:r>
            <w:proofErr w:type="spellStart"/>
            <w:r w:rsidRPr="00E47602">
              <w:rPr>
                <w:rFonts w:ascii="Arial" w:hAnsi="Arial" w:cs="Arial"/>
              </w:rPr>
              <w:t>etc</w:t>
            </w:r>
            <w:proofErr w:type="spellEnd"/>
            <w:r w:rsidRPr="00E47602">
              <w:rPr>
                <w:rFonts w:ascii="Arial" w:hAnsi="Arial" w:cs="Arial"/>
              </w:rPr>
              <w:t>)</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Prostanoids place in therapy</w:t>
            </w:r>
          </w:p>
        </w:tc>
        <w:tc>
          <w:tcPr>
            <w:tcW w:w="3364" w:type="dxa"/>
          </w:tcPr>
          <w:p w:rsidR="00023A50" w:rsidRPr="00E47602" w:rsidRDefault="001951EA" w:rsidP="00C21496">
            <w:pPr>
              <w:ind w:left="57" w:right="57"/>
              <w:contextualSpacing/>
              <w:jc w:val="left"/>
              <w:rPr>
                <w:rFonts w:ascii="Arial" w:hAnsi="Arial" w:cs="Arial"/>
              </w:rPr>
            </w:pPr>
            <w:r w:rsidRPr="00E47602">
              <w:rPr>
                <w:rFonts w:ascii="Arial" w:hAnsi="Arial" w:cs="Arial"/>
              </w:rPr>
              <w:t>e</w:t>
            </w:r>
            <w:r w:rsidR="00023A50" w:rsidRPr="00E47602">
              <w:rPr>
                <w:rFonts w:ascii="Arial" w:hAnsi="Arial" w:cs="Arial"/>
              </w:rPr>
              <w:t xml:space="preserve">poprostenol - </w:t>
            </w:r>
            <w:r w:rsidR="002B3771" w:rsidRPr="00E47602">
              <w:rPr>
                <w:rFonts w:ascii="Arial" w:hAnsi="Arial" w:cs="Arial"/>
              </w:rPr>
              <w:t>2</w:t>
            </w:r>
            <w:r w:rsidR="002B3771" w:rsidRPr="00E47602">
              <w:rPr>
                <w:rFonts w:ascii="Arial" w:hAnsi="Arial" w:cs="Arial"/>
                <w:vertAlign w:val="superscript"/>
              </w:rPr>
              <w:t>nd</w:t>
            </w:r>
            <w:r w:rsidRPr="00E47602">
              <w:rPr>
                <w:rFonts w:ascii="Arial" w:hAnsi="Arial" w:cs="Arial"/>
              </w:rPr>
              <w:t xml:space="preserve"> line </w:t>
            </w:r>
            <w:r w:rsidR="002B3771" w:rsidRPr="00E47602">
              <w:rPr>
                <w:rFonts w:ascii="Arial" w:hAnsi="Arial" w:cs="Arial"/>
              </w:rPr>
              <w:t>WHO FC III</w:t>
            </w:r>
            <w:r w:rsidRPr="00E47602">
              <w:rPr>
                <w:rFonts w:ascii="Arial" w:hAnsi="Arial" w:cs="Arial"/>
              </w:rPr>
              <w:t>,</w:t>
            </w:r>
          </w:p>
          <w:p w:rsidR="001951EA" w:rsidRPr="00E47602" w:rsidRDefault="001951EA" w:rsidP="00C21496">
            <w:pPr>
              <w:ind w:left="57" w:right="57"/>
              <w:contextualSpacing/>
              <w:jc w:val="left"/>
              <w:rPr>
                <w:rFonts w:ascii="Arial" w:hAnsi="Arial" w:cs="Arial"/>
              </w:rPr>
            </w:pPr>
            <w:r w:rsidRPr="00E47602">
              <w:rPr>
                <w:rFonts w:ascii="Arial" w:hAnsi="Arial" w:cs="Arial"/>
              </w:rPr>
              <w:t>1</w:t>
            </w:r>
            <w:r w:rsidRPr="00E47602">
              <w:rPr>
                <w:rFonts w:ascii="Arial" w:hAnsi="Arial" w:cs="Arial"/>
                <w:vertAlign w:val="superscript"/>
              </w:rPr>
              <w:t>st</w:t>
            </w:r>
            <w:r w:rsidRPr="00E47602">
              <w:rPr>
                <w:rFonts w:ascii="Arial" w:hAnsi="Arial" w:cs="Arial"/>
              </w:rPr>
              <w:t xml:space="preserve"> line in FC IV</w:t>
            </w:r>
          </w:p>
          <w:p w:rsidR="001951EA" w:rsidRPr="00E47602" w:rsidRDefault="009567F6" w:rsidP="00C21496">
            <w:pPr>
              <w:ind w:left="57" w:right="57"/>
              <w:contextualSpacing/>
              <w:jc w:val="left"/>
              <w:rPr>
                <w:rFonts w:ascii="Arial" w:hAnsi="Arial" w:cs="Arial"/>
              </w:rPr>
            </w:pPr>
            <w:r w:rsidRPr="00E47602">
              <w:rPr>
                <w:rFonts w:ascii="Arial" w:hAnsi="Arial" w:cs="Arial"/>
              </w:rPr>
              <w:t>iloprost for PAH-DT FC III-IV and</w:t>
            </w:r>
          </w:p>
          <w:p w:rsidR="001951EA" w:rsidRPr="00E47602" w:rsidRDefault="001951EA" w:rsidP="00C21496">
            <w:pPr>
              <w:ind w:left="57" w:right="57"/>
              <w:contextualSpacing/>
              <w:jc w:val="left"/>
              <w:rPr>
                <w:rFonts w:ascii="Arial" w:hAnsi="Arial" w:cs="Arial"/>
              </w:rPr>
            </w:pPr>
            <w:r w:rsidRPr="00E47602">
              <w:rPr>
                <w:rFonts w:ascii="Arial" w:hAnsi="Arial" w:cs="Arial"/>
              </w:rPr>
              <w:t>FC IV.</w:t>
            </w:r>
          </w:p>
          <w:p w:rsidR="002B3771" w:rsidRPr="00E47602" w:rsidRDefault="009567F6" w:rsidP="00C21496">
            <w:pPr>
              <w:ind w:left="57" w:right="57"/>
              <w:contextualSpacing/>
              <w:jc w:val="left"/>
              <w:rPr>
                <w:rFonts w:ascii="Arial" w:hAnsi="Arial" w:cs="Arial"/>
                <w:i/>
              </w:rPr>
            </w:pPr>
            <w:r w:rsidRPr="00E47602">
              <w:rPr>
                <w:rFonts w:ascii="Arial" w:hAnsi="Arial" w:cs="Arial"/>
              </w:rPr>
              <w:t>No prostanoids listed</w:t>
            </w:r>
            <w:r w:rsidR="002B3771" w:rsidRPr="00E47602">
              <w:rPr>
                <w:rFonts w:ascii="Arial" w:hAnsi="Arial" w:cs="Arial"/>
              </w:rPr>
              <w:t xml:space="preserve"> for PAH-CHD</w:t>
            </w:r>
          </w:p>
        </w:tc>
        <w:tc>
          <w:tcPr>
            <w:tcW w:w="3827" w:type="dxa"/>
          </w:tcPr>
          <w:p w:rsidR="001951EA" w:rsidRPr="00E47602" w:rsidRDefault="001951EA" w:rsidP="00C21496">
            <w:pPr>
              <w:ind w:left="57" w:right="57"/>
              <w:contextualSpacing/>
              <w:jc w:val="left"/>
              <w:rPr>
                <w:rFonts w:ascii="Arial" w:hAnsi="Arial" w:cs="Arial"/>
              </w:rPr>
            </w:pPr>
            <w:r w:rsidRPr="00E47602">
              <w:rPr>
                <w:rFonts w:ascii="Arial" w:hAnsi="Arial" w:cs="Arial"/>
              </w:rPr>
              <w:t xml:space="preserve">epoprostenol registered for IPAH, HPAH, PAH-CTD </w:t>
            </w:r>
          </w:p>
          <w:p w:rsidR="002B3771" w:rsidRPr="00E47602" w:rsidRDefault="001951EA" w:rsidP="00C21496">
            <w:pPr>
              <w:ind w:left="57" w:right="57"/>
              <w:contextualSpacing/>
              <w:jc w:val="left"/>
              <w:rPr>
                <w:rFonts w:ascii="Arial" w:hAnsi="Arial" w:cs="Arial"/>
              </w:rPr>
            </w:pPr>
            <w:r w:rsidRPr="00E47602">
              <w:rPr>
                <w:rFonts w:ascii="Arial" w:hAnsi="Arial" w:cs="Arial"/>
              </w:rPr>
              <w:t>i</w:t>
            </w:r>
            <w:r w:rsidR="002B3771" w:rsidRPr="00E47602">
              <w:rPr>
                <w:rFonts w:ascii="Arial" w:hAnsi="Arial" w:cs="Arial"/>
              </w:rPr>
              <w:t>loprost registered for IPAH</w:t>
            </w:r>
            <w:r w:rsidR="00601985" w:rsidRPr="00E47602">
              <w:rPr>
                <w:rFonts w:ascii="Arial" w:hAnsi="Arial" w:cs="Arial"/>
              </w:rPr>
              <w:t>,</w:t>
            </w:r>
            <w:r w:rsidR="002B3771" w:rsidRPr="00E47602">
              <w:rPr>
                <w:rFonts w:ascii="Arial" w:hAnsi="Arial" w:cs="Arial"/>
              </w:rPr>
              <w:t xml:space="preserve"> PAH-CTD</w:t>
            </w:r>
            <w:r w:rsidR="00601985" w:rsidRPr="00E47602">
              <w:rPr>
                <w:rFonts w:ascii="Arial" w:hAnsi="Arial" w:cs="Arial"/>
              </w:rPr>
              <w:t xml:space="preserve"> and PAH-DT</w:t>
            </w:r>
          </w:p>
          <w:p w:rsidR="002B3771" w:rsidRPr="00E47602" w:rsidRDefault="009567F6" w:rsidP="00C21496">
            <w:pPr>
              <w:ind w:left="57" w:right="57"/>
              <w:contextualSpacing/>
              <w:jc w:val="left"/>
              <w:rPr>
                <w:rFonts w:ascii="Arial" w:hAnsi="Arial" w:cs="Arial"/>
              </w:rPr>
            </w:pPr>
            <w:r w:rsidRPr="00E47602">
              <w:rPr>
                <w:rFonts w:ascii="Arial" w:hAnsi="Arial" w:cs="Arial"/>
              </w:rPr>
              <w:t>No prostanoids approved for PAH-CHD.</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Recommended for WHO FC III (especially high risk) and WHO FC IV</w:t>
            </w:r>
          </w:p>
          <w:p w:rsidR="002B3771" w:rsidRPr="00E47602" w:rsidRDefault="002B3771" w:rsidP="00C21496">
            <w:pPr>
              <w:ind w:left="57" w:right="57"/>
              <w:contextualSpacing/>
              <w:jc w:val="left"/>
              <w:rPr>
                <w:rFonts w:ascii="Arial" w:hAnsi="Arial" w:cs="Arial"/>
              </w:rPr>
            </w:pPr>
            <w:r w:rsidRPr="00E47602">
              <w:rPr>
                <w:rFonts w:ascii="Arial" w:hAnsi="Arial" w:cs="Arial"/>
              </w:rPr>
              <w:t>No recommendations based on line of therapy</w:t>
            </w:r>
          </w:p>
          <w:p w:rsidR="002B3771" w:rsidRPr="00E47602" w:rsidRDefault="002B3771" w:rsidP="00C21496">
            <w:pPr>
              <w:ind w:left="57" w:right="57"/>
              <w:contextualSpacing/>
              <w:jc w:val="left"/>
              <w:rPr>
                <w:rFonts w:ascii="Arial" w:hAnsi="Arial" w:cs="Arial"/>
              </w:rPr>
            </w:pPr>
            <w:r w:rsidRPr="00E47602">
              <w:rPr>
                <w:rFonts w:ascii="Arial" w:hAnsi="Arial" w:cs="Arial"/>
              </w:rPr>
              <w:t>Recommendations for PAH-CHD are consensus based but are otherwise consistent with WHO Group 1 conditions</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PAH subtypes</w:t>
            </w:r>
          </w:p>
        </w:tc>
        <w:tc>
          <w:tcPr>
            <w:tcW w:w="3364" w:type="dxa"/>
          </w:tcPr>
          <w:p w:rsidR="001951EA" w:rsidRPr="00E47602" w:rsidRDefault="001951EA" w:rsidP="00C21496">
            <w:pPr>
              <w:ind w:left="57" w:right="57"/>
              <w:contextualSpacing/>
              <w:jc w:val="left"/>
              <w:rPr>
                <w:rFonts w:ascii="Arial" w:hAnsi="Arial" w:cs="Arial"/>
              </w:rPr>
            </w:pPr>
            <w:r w:rsidRPr="00E47602">
              <w:rPr>
                <w:rFonts w:ascii="Arial" w:hAnsi="Arial" w:cs="Arial"/>
              </w:rPr>
              <w:t xml:space="preserve">Medicines are </w:t>
            </w:r>
            <w:r w:rsidR="009567F6" w:rsidRPr="00E47602">
              <w:rPr>
                <w:rFonts w:ascii="Arial" w:hAnsi="Arial" w:cs="Arial"/>
              </w:rPr>
              <w:t>PBS-</w:t>
            </w:r>
            <w:r w:rsidR="000253E9" w:rsidRPr="00E47602">
              <w:rPr>
                <w:rFonts w:ascii="Arial" w:hAnsi="Arial" w:cs="Arial"/>
              </w:rPr>
              <w:t xml:space="preserve">listed </w:t>
            </w:r>
            <w:r w:rsidRPr="00E47602">
              <w:rPr>
                <w:rFonts w:ascii="Arial" w:hAnsi="Arial" w:cs="Arial"/>
              </w:rPr>
              <w:t>by PAH subtype</w:t>
            </w:r>
          </w:p>
          <w:p w:rsidR="002B3771" w:rsidRPr="00E47602" w:rsidRDefault="001951EA" w:rsidP="00C21496">
            <w:pPr>
              <w:ind w:left="57" w:right="57"/>
              <w:contextualSpacing/>
              <w:jc w:val="left"/>
              <w:rPr>
                <w:rFonts w:ascii="Arial" w:hAnsi="Arial" w:cs="Arial"/>
              </w:rPr>
            </w:pPr>
            <w:r w:rsidRPr="00E47602">
              <w:rPr>
                <w:rFonts w:ascii="Arial" w:hAnsi="Arial" w:cs="Arial"/>
              </w:rPr>
              <w:t>Tre</w:t>
            </w:r>
            <w:r w:rsidR="009567F6" w:rsidRPr="00E47602">
              <w:rPr>
                <w:rFonts w:ascii="Arial" w:hAnsi="Arial" w:cs="Arial"/>
              </w:rPr>
              <w:t>atment for IPAH, HPAH, PAH-CTD and</w:t>
            </w:r>
            <w:r w:rsidR="002B3771" w:rsidRPr="00E47602">
              <w:rPr>
                <w:rFonts w:ascii="Arial" w:hAnsi="Arial" w:cs="Arial"/>
              </w:rPr>
              <w:t xml:space="preserve"> PAH-DT</w:t>
            </w:r>
          </w:p>
          <w:p w:rsidR="002B3771" w:rsidRPr="00E47602" w:rsidRDefault="009567F6" w:rsidP="00C21496">
            <w:pPr>
              <w:ind w:left="57" w:right="57"/>
              <w:contextualSpacing/>
              <w:jc w:val="left"/>
              <w:rPr>
                <w:rFonts w:ascii="Arial" w:hAnsi="Arial" w:cs="Arial"/>
              </w:rPr>
            </w:pPr>
            <w:r w:rsidRPr="00E47602">
              <w:rPr>
                <w:rFonts w:ascii="Arial" w:hAnsi="Arial" w:cs="Arial"/>
              </w:rPr>
              <w:t>Oral medicines</w:t>
            </w:r>
            <w:r w:rsidR="002B3771" w:rsidRPr="00E47602">
              <w:rPr>
                <w:rFonts w:ascii="Arial" w:hAnsi="Arial" w:cs="Arial"/>
              </w:rPr>
              <w:t xml:space="preserve"> </w:t>
            </w:r>
            <w:r w:rsidR="001951EA" w:rsidRPr="00E47602">
              <w:rPr>
                <w:rFonts w:ascii="Arial" w:hAnsi="Arial" w:cs="Arial"/>
              </w:rPr>
              <w:t>-</w:t>
            </w:r>
            <w:r w:rsidR="002B3771" w:rsidRPr="00E47602">
              <w:rPr>
                <w:rFonts w:ascii="Arial" w:hAnsi="Arial" w:cs="Arial"/>
              </w:rPr>
              <w:t xml:space="preserve"> PAH-CHD</w:t>
            </w:r>
          </w:p>
          <w:p w:rsidR="002B3771" w:rsidRPr="00E47602" w:rsidRDefault="009567F6" w:rsidP="00C21496">
            <w:pPr>
              <w:ind w:left="57" w:right="57"/>
              <w:contextualSpacing/>
              <w:jc w:val="left"/>
              <w:rPr>
                <w:rFonts w:ascii="Arial" w:hAnsi="Arial" w:cs="Arial"/>
              </w:rPr>
            </w:pPr>
            <w:r w:rsidRPr="00E47602">
              <w:rPr>
                <w:rFonts w:ascii="Arial" w:hAnsi="Arial" w:cs="Arial"/>
              </w:rPr>
              <w:t>No listings</w:t>
            </w:r>
            <w:r w:rsidR="001951EA" w:rsidRPr="00E47602">
              <w:rPr>
                <w:rFonts w:ascii="Arial" w:hAnsi="Arial" w:cs="Arial"/>
              </w:rPr>
              <w:t xml:space="preserve"> for PAH-HIV + </w:t>
            </w:r>
            <w:r w:rsidR="002B3771" w:rsidRPr="00E47602">
              <w:rPr>
                <w:rFonts w:ascii="Arial" w:hAnsi="Arial" w:cs="Arial"/>
              </w:rPr>
              <w:t>PAH-PH</w:t>
            </w:r>
          </w:p>
        </w:tc>
        <w:tc>
          <w:tcPr>
            <w:tcW w:w="3827" w:type="dxa"/>
          </w:tcPr>
          <w:p w:rsidR="002B3771" w:rsidRPr="00E47602" w:rsidRDefault="000253E9" w:rsidP="00C21496">
            <w:pPr>
              <w:ind w:left="57" w:right="57"/>
              <w:contextualSpacing/>
              <w:jc w:val="left"/>
              <w:rPr>
                <w:rFonts w:ascii="Arial" w:hAnsi="Arial" w:cs="Arial"/>
              </w:rPr>
            </w:pPr>
            <w:r w:rsidRPr="00E47602">
              <w:rPr>
                <w:rFonts w:ascii="Arial" w:hAnsi="Arial" w:cs="Arial"/>
              </w:rPr>
              <w:t xml:space="preserve">Medicines are </w:t>
            </w:r>
            <w:r w:rsidR="009567F6" w:rsidRPr="00E47602">
              <w:rPr>
                <w:rFonts w:ascii="Arial" w:hAnsi="Arial" w:cs="Arial"/>
              </w:rPr>
              <w:t>approved</w:t>
            </w:r>
            <w:r w:rsidRPr="00E47602">
              <w:rPr>
                <w:rFonts w:ascii="Arial" w:hAnsi="Arial" w:cs="Arial"/>
              </w:rPr>
              <w:t xml:space="preserve"> by PAH subtype</w:t>
            </w:r>
          </w:p>
          <w:p w:rsidR="002B3771" w:rsidRPr="00E47602" w:rsidRDefault="00514D55" w:rsidP="00C21496">
            <w:pPr>
              <w:ind w:left="57" w:right="57"/>
              <w:contextualSpacing/>
              <w:jc w:val="left"/>
              <w:rPr>
                <w:rFonts w:ascii="Arial" w:hAnsi="Arial" w:cs="Arial"/>
              </w:rPr>
            </w:pPr>
            <w:r w:rsidRPr="00E47602">
              <w:rPr>
                <w:rFonts w:ascii="Arial" w:hAnsi="Arial" w:cs="Arial"/>
              </w:rPr>
              <w:t>s</w:t>
            </w:r>
            <w:r w:rsidR="002B3771" w:rsidRPr="00E47602">
              <w:rPr>
                <w:rFonts w:ascii="Arial" w:hAnsi="Arial" w:cs="Arial"/>
              </w:rPr>
              <w:t>ildenafil, tadalafil</w:t>
            </w:r>
            <w:r w:rsidR="000253E9" w:rsidRPr="00E47602">
              <w:rPr>
                <w:rFonts w:ascii="Arial" w:hAnsi="Arial" w:cs="Arial"/>
              </w:rPr>
              <w:t xml:space="preserve">, </w:t>
            </w:r>
            <w:r w:rsidR="002B3771" w:rsidRPr="00E47602">
              <w:rPr>
                <w:rFonts w:ascii="Arial" w:hAnsi="Arial" w:cs="Arial"/>
              </w:rPr>
              <w:t>ambrisentan</w:t>
            </w:r>
            <w:r w:rsidR="009567F6" w:rsidRPr="00E47602">
              <w:rPr>
                <w:rFonts w:ascii="Arial" w:hAnsi="Arial" w:cs="Arial"/>
              </w:rPr>
              <w:t xml:space="preserve"> </w:t>
            </w:r>
            <w:r w:rsidR="002B3771" w:rsidRPr="00E47602">
              <w:rPr>
                <w:rFonts w:ascii="Arial" w:hAnsi="Arial" w:cs="Arial"/>
              </w:rPr>
              <w:t>+</w:t>
            </w:r>
            <w:r w:rsidR="009567F6" w:rsidRPr="00E47602">
              <w:rPr>
                <w:rFonts w:ascii="Arial" w:hAnsi="Arial" w:cs="Arial"/>
              </w:rPr>
              <w:t xml:space="preserve"> </w:t>
            </w:r>
            <w:r w:rsidR="002B3771" w:rsidRPr="00E47602">
              <w:rPr>
                <w:rFonts w:ascii="Arial" w:hAnsi="Arial" w:cs="Arial"/>
              </w:rPr>
              <w:t>tadalafil comb</w:t>
            </w:r>
            <w:r w:rsidRPr="00E47602">
              <w:rPr>
                <w:rFonts w:ascii="Arial" w:hAnsi="Arial" w:cs="Arial"/>
              </w:rPr>
              <w:t>ination</w:t>
            </w:r>
            <w:r w:rsidR="002B3771" w:rsidRPr="00E47602">
              <w:rPr>
                <w:rFonts w:ascii="Arial" w:hAnsi="Arial" w:cs="Arial"/>
              </w:rPr>
              <w:t xml:space="preserve"> </w:t>
            </w:r>
            <w:r w:rsidRPr="00E47602">
              <w:rPr>
                <w:rFonts w:ascii="Arial" w:hAnsi="Arial" w:cs="Arial"/>
              </w:rPr>
              <w:t>are indicated</w:t>
            </w:r>
            <w:r w:rsidR="002B3771" w:rsidRPr="00E47602">
              <w:rPr>
                <w:rFonts w:ascii="Arial" w:hAnsi="Arial" w:cs="Arial"/>
              </w:rPr>
              <w:t xml:space="preserve"> for </w:t>
            </w:r>
            <w:r w:rsidR="009567F6" w:rsidRPr="00E47602">
              <w:rPr>
                <w:rFonts w:ascii="Arial" w:hAnsi="Arial" w:cs="Arial"/>
              </w:rPr>
              <w:t>Group I PAH</w:t>
            </w:r>
          </w:p>
          <w:p w:rsidR="002B3771" w:rsidRPr="00E47602" w:rsidRDefault="002B3771" w:rsidP="00C21496">
            <w:pPr>
              <w:ind w:left="57" w:right="57"/>
              <w:contextualSpacing/>
              <w:jc w:val="left"/>
              <w:rPr>
                <w:rFonts w:ascii="Arial" w:hAnsi="Arial" w:cs="Arial"/>
              </w:rPr>
            </w:pPr>
            <w:r w:rsidRPr="00E47602">
              <w:rPr>
                <w:rFonts w:ascii="Arial" w:hAnsi="Arial" w:cs="Arial"/>
              </w:rPr>
              <w:t>Only iloprost approved for PAH-DT</w:t>
            </w:r>
          </w:p>
          <w:p w:rsidR="002B3771" w:rsidRPr="00E47602" w:rsidRDefault="002B3771" w:rsidP="00C21496">
            <w:pPr>
              <w:ind w:left="57" w:right="57"/>
              <w:contextualSpacing/>
              <w:jc w:val="left"/>
              <w:rPr>
                <w:rFonts w:ascii="Arial" w:hAnsi="Arial" w:cs="Arial"/>
              </w:rPr>
            </w:pPr>
            <w:r w:rsidRPr="00E47602">
              <w:rPr>
                <w:rFonts w:ascii="Arial" w:hAnsi="Arial" w:cs="Arial"/>
              </w:rPr>
              <w:t>No p</w:t>
            </w:r>
            <w:r w:rsidR="000253E9" w:rsidRPr="00E47602">
              <w:rPr>
                <w:rFonts w:ascii="Arial" w:hAnsi="Arial" w:cs="Arial"/>
              </w:rPr>
              <w:t>rostanoids approved for PAH-CHD</w:t>
            </w:r>
            <w:r w:rsidRPr="00E47602">
              <w:rPr>
                <w:rFonts w:ascii="Arial" w:hAnsi="Arial" w:cs="Arial"/>
              </w:rPr>
              <w:t xml:space="preserve"> </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Treatment recommendations apply to all </w:t>
            </w:r>
            <w:r w:rsidR="009567F6" w:rsidRPr="00E47602">
              <w:rPr>
                <w:rFonts w:ascii="Arial" w:hAnsi="Arial" w:cs="Arial"/>
              </w:rPr>
              <w:t xml:space="preserve">WHO Group 1 </w:t>
            </w:r>
            <w:r w:rsidR="001951EA" w:rsidRPr="00E47602">
              <w:rPr>
                <w:rFonts w:ascii="Arial" w:hAnsi="Arial" w:cs="Arial"/>
              </w:rPr>
              <w:t xml:space="preserve">PAH </w:t>
            </w:r>
            <w:r w:rsidR="009567F6" w:rsidRPr="00E47602">
              <w:rPr>
                <w:rFonts w:ascii="Arial" w:hAnsi="Arial" w:cs="Arial"/>
              </w:rPr>
              <w:t>types</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Monotherapy</w:t>
            </w:r>
          </w:p>
        </w:tc>
        <w:tc>
          <w:tcPr>
            <w:tcW w:w="3364" w:type="dxa"/>
          </w:tcPr>
          <w:p w:rsidR="002B3771" w:rsidRPr="00E47602" w:rsidRDefault="000253E9" w:rsidP="00C21496">
            <w:pPr>
              <w:ind w:left="57" w:right="57"/>
              <w:contextualSpacing/>
              <w:jc w:val="left"/>
              <w:rPr>
                <w:rFonts w:ascii="Arial" w:hAnsi="Arial" w:cs="Arial"/>
              </w:rPr>
            </w:pPr>
            <w:r w:rsidRPr="00E47602">
              <w:rPr>
                <w:rFonts w:ascii="Arial" w:hAnsi="Arial" w:cs="Arial"/>
              </w:rPr>
              <w:t>All PBS listings</w:t>
            </w:r>
          </w:p>
        </w:tc>
        <w:tc>
          <w:tcPr>
            <w:tcW w:w="3827" w:type="dxa"/>
          </w:tcPr>
          <w:p w:rsidR="002B3771" w:rsidRPr="00E47602" w:rsidRDefault="000253E9" w:rsidP="00C21496">
            <w:pPr>
              <w:ind w:left="57" w:right="57"/>
              <w:contextualSpacing/>
              <w:jc w:val="left"/>
              <w:rPr>
                <w:rFonts w:ascii="Arial" w:hAnsi="Arial" w:cs="Arial"/>
              </w:rPr>
            </w:pPr>
            <w:r w:rsidRPr="00E47602">
              <w:rPr>
                <w:rFonts w:ascii="Arial" w:hAnsi="Arial" w:cs="Arial"/>
              </w:rPr>
              <w:t>All TGA registrations</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Initial monotherapy recommended for treatment naïve patients without high risk factors (WHO FC II-III)</w:t>
            </w:r>
          </w:p>
        </w:tc>
      </w:tr>
      <w:tr w:rsidR="00601985" w:rsidRPr="009F466A"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Initial combination therapy</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Not permitted (treatment must be the sole PBS-subsidised PAH agent)</w:t>
            </w:r>
          </w:p>
        </w:tc>
        <w:tc>
          <w:tcPr>
            <w:tcW w:w="3827" w:type="dxa"/>
          </w:tcPr>
          <w:p w:rsidR="000253E9" w:rsidRPr="00E47602" w:rsidRDefault="000253E9" w:rsidP="00C21496">
            <w:pPr>
              <w:ind w:left="57" w:right="57"/>
              <w:contextualSpacing/>
              <w:jc w:val="left"/>
              <w:rPr>
                <w:rFonts w:ascii="Arial" w:hAnsi="Arial" w:cs="Arial"/>
              </w:rPr>
            </w:pPr>
            <w:r w:rsidRPr="00E47602">
              <w:rPr>
                <w:rFonts w:ascii="Arial" w:hAnsi="Arial" w:cs="Arial"/>
              </w:rPr>
              <w:t>PAH medicine combination registered for combination use:</w:t>
            </w:r>
          </w:p>
          <w:p w:rsidR="000253E9" w:rsidRPr="00E47602" w:rsidRDefault="000253E9" w:rsidP="00C21496">
            <w:pPr>
              <w:ind w:left="57" w:right="57"/>
              <w:contextualSpacing/>
              <w:jc w:val="left"/>
              <w:rPr>
                <w:rFonts w:ascii="Arial" w:hAnsi="Arial" w:cs="Arial"/>
              </w:rPr>
            </w:pPr>
            <w:r w:rsidRPr="00E47602">
              <w:rPr>
                <w:rFonts w:ascii="Arial" w:hAnsi="Arial" w:cs="Arial"/>
              </w:rPr>
              <w:t>• ambrisentan + tadalafil;</w:t>
            </w:r>
          </w:p>
          <w:p w:rsidR="000253E9" w:rsidRPr="00E47602" w:rsidRDefault="000253E9" w:rsidP="00C21496">
            <w:pPr>
              <w:ind w:left="57" w:right="57"/>
              <w:contextualSpacing/>
              <w:jc w:val="left"/>
              <w:rPr>
                <w:rFonts w:ascii="Arial" w:hAnsi="Arial" w:cs="Arial"/>
              </w:rPr>
            </w:pPr>
            <w:r w:rsidRPr="00E47602">
              <w:rPr>
                <w:rFonts w:ascii="Arial" w:hAnsi="Arial" w:cs="Arial"/>
              </w:rPr>
              <w:t xml:space="preserve">• macitentan + PDE-5 inhibitor or iloprost; </w:t>
            </w:r>
          </w:p>
          <w:p w:rsidR="002B3771" w:rsidRPr="00E47602" w:rsidRDefault="000253E9" w:rsidP="00C21496">
            <w:pPr>
              <w:ind w:left="57" w:right="57"/>
              <w:contextualSpacing/>
              <w:jc w:val="left"/>
              <w:rPr>
                <w:rFonts w:ascii="Arial" w:hAnsi="Arial" w:cs="Arial"/>
              </w:rPr>
            </w:pPr>
            <w:r w:rsidRPr="00E47602">
              <w:rPr>
                <w:rFonts w:ascii="Arial" w:hAnsi="Arial" w:cs="Arial"/>
              </w:rPr>
              <w:t>• riociguat + ERA or iloprost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Recommended for WHO FC III and WHO FC IV with high risk factors</w:t>
            </w:r>
            <w:r w:rsidR="000253E9" w:rsidRPr="00E47602">
              <w:rPr>
                <w:rFonts w:ascii="Arial" w:hAnsi="Arial" w:cs="Arial"/>
              </w:rPr>
              <w:t xml:space="preserve">. The </w:t>
            </w:r>
            <w:r w:rsidRPr="00E47602">
              <w:rPr>
                <w:rFonts w:ascii="Arial" w:hAnsi="Arial" w:cs="Arial"/>
              </w:rPr>
              <w:t xml:space="preserve">ESC/ERS </w:t>
            </w:r>
            <w:r w:rsidR="009567F6" w:rsidRPr="00E47602">
              <w:rPr>
                <w:rFonts w:ascii="Arial" w:hAnsi="Arial" w:cs="Arial"/>
              </w:rPr>
              <w:t>guidelines also recommend</w:t>
            </w:r>
            <w:r w:rsidRPr="00E47602">
              <w:rPr>
                <w:rFonts w:ascii="Arial" w:hAnsi="Arial" w:cs="Arial"/>
              </w:rPr>
              <w:t xml:space="preserve"> initial oral combina</w:t>
            </w:r>
            <w:r w:rsidR="000253E9" w:rsidRPr="00E47602">
              <w:rPr>
                <w:rFonts w:ascii="Arial" w:hAnsi="Arial" w:cs="Arial"/>
              </w:rPr>
              <w:t>tion as an option for WHO FC II</w:t>
            </w:r>
            <w:r w:rsidR="009567F6" w:rsidRPr="00E47602">
              <w:rPr>
                <w:rFonts w:ascii="Arial" w:hAnsi="Arial" w:cs="Arial"/>
              </w:rPr>
              <w:t xml:space="preserve"> patients</w:t>
            </w:r>
            <w:r w:rsidR="000253E9" w:rsidRPr="00E47602">
              <w:rPr>
                <w:rFonts w:ascii="Arial" w:hAnsi="Arial" w:cs="Arial"/>
              </w:rPr>
              <w:t>.</w:t>
            </w:r>
          </w:p>
        </w:tc>
      </w:tr>
      <w:tr w:rsidR="00601985" w:rsidRPr="009F466A" w:rsidTr="00075CB2">
        <w:trPr>
          <w:trHeight w:val="22"/>
        </w:trPr>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Sequential combination therapy</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Not permitted</w:t>
            </w:r>
            <w:r w:rsidR="000253E9" w:rsidRPr="00E47602">
              <w:rPr>
                <w:rFonts w:ascii="Arial" w:hAnsi="Arial" w:cs="Arial"/>
              </w:rPr>
              <w:t xml:space="preserve">. </w:t>
            </w:r>
          </w:p>
        </w:tc>
        <w:tc>
          <w:tcPr>
            <w:tcW w:w="3827" w:type="dxa"/>
          </w:tcPr>
          <w:p w:rsidR="000253E9" w:rsidRPr="00E47602" w:rsidRDefault="000253E9" w:rsidP="00C21496">
            <w:pPr>
              <w:ind w:left="57" w:right="57"/>
              <w:contextualSpacing/>
              <w:jc w:val="left"/>
              <w:rPr>
                <w:rFonts w:ascii="Arial" w:hAnsi="Arial" w:cs="Arial"/>
              </w:rPr>
            </w:pPr>
            <w:r w:rsidRPr="00E47602">
              <w:rPr>
                <w:rFonts w:ascii="Arial" w:hAnsi="Arial" w:cs="Arial"/>
              </w:rPr>
              <w:t>PAH medicine combination registered for combination use:</w:t>
            </w:r>
          </w:p>
          <w:p w:rsidR="000253E9" w:rsidRPr="00E47602" w:rsidRDefault="000253E9" w:rsidP="00C21496">
            <w:pPr>
              <w:ind w:left="57" w:right="57"/>
              <w:contextualSpacing/>
              <w:jc w:val="left"/>
              <w:rPr>
                <w:rFonts w:ascii="Arial" w:hAnsi="Arial" w:cs="Arial"/>
              </w:rPr>
            </w:pPr>
            <w:r w:rsidRPr="00E47602">
              <w:rPr>
                <w:rFonts w:ascii="Arial" w:hAnsi="Arial" w:cs="Arial"/>
              </w:rPr>
              <w:t>• ambrisentan + tadalafil;</w:t>
            </w:r>
          </w:p>
          <w:p w:rsidR="000253E9" w:rsidRPr="00E47602" w:rsidRDefault="000253E9" w:rsidP="00C21496">
            <w:pPr>
              <w:ind w:left="57" w:right="57"/>
              <w:contextualSpacing/>
              <w:jc w:val="left"/>
              <w:rPr>
                <w:rFonts w:ascii="Arial" w:hAnsi="Arial" w:cs="Arial"/>
              </w:rPr>
            </w:pPr>
            <w:r w:rsidRPr="00E47602">
              <w:rPr>
                <w:rFonts w:ascii="Arial" w:hAnsi="Arial" w:cs="Arial"/>
              </w:rPr>
              <w:t xml:space="preserve">• macitentan + PDE-5 inhibitor or iloprost; </w:t>
            </w:r>
          </w:p>
          <w:p w:rsidR="002B3771" w:rsidRPr="00E47602" w:rsidRDefault="000253E9" w:rsidP="00C21496">
            <w:pPr>
              <w:ind w:left="57" w:right="57"/>
              <w:contextualSpacing/>
              <w:jc w:val="left"/>
              <w:rPr>
                <w:rFonts w:ascii="Arial" w:hAnsi="Arial" w:cs="Arial"/>
              </w:rPr>
            </w:pPr>
            <w:r w:rsidRPr="00E47602">
              <w:rPr>
                <w:rFonts w:ascii="Arial" w:hAnsi="Arial" w:cs="Arial"/>
              </w:rPr>
              <w:lastRenderedPageBreak/>
              <w:t>• riociguat + ERA or iloprost</w:t>
            </w:r>
          </w:p>
        </w:tc>
        <w:tc>
          <w:tcPr>
            <w:tcW w:w="5071" w:type="dxa"/>
          </w:tcPr>
          <w:p w:rsidR="002B3771" w:rsidRPr="00E47602" w:rsidRDefault="002B3771" w:rsidP="00C21496">
            <w:pPr>
              <w:ind w:left="57" w:right="57"/>
              <w:contextualSpacing/>
              <w:jc w:val="left"/>
              <w:rPr>
                <w:rFonts w:ascii="Arial" w:hAnsi="Arial" w:cs="Arial"/>
              </w:rPr>
            </w:pPr>
            <w:proofErr w:type="spellStart"/>
            <w:r w:rsidRPr="00E47602">
              <w:rPr>
                <w:rFonts w:ascii="Arial" w:hAnsi="Arial" w:cs="Arial"/>
              </w:rPr>
              <w:lastRenderedPageBreak/>
              <w:t>SoC</w:t>
            </w:r>
            <w:proofErr w:type="spellEnd"/>
            <w:r w:rsidRPr="00E47602">
              <w:rPr>
                <w:rFonts w:ascii="Arial" w:hAnsi="Arial" w:cs="Arial"/>
              </w:rPr>
              <w:t xml:space="preserve"> for patients WHO FC II-IV with inadequate response, up to a maximum of </w:t>
            </w:r>
            <w:r w:rsidR="009567F6" w:rsidRPr="00E47602">
              <w:rPr>
                <w:rFonts w:ascii="Arial" w:hAnsi="Arial" w:cs="Arial"/>
              </w:rPr>
              <w:t>three</w:t>
            </w:r>
            <w:r w:rsidRPr="00E47602">
              <w:rPr>
                <w:rFonts w:ascii="Arial" w:hAnsi="Arial" w:cs="Arial"/>
              </w:rPr>
              <w:t xml:space="preserve"> PAH medicines.</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lastRenderedPageBreak/>
              <w:t>RHC</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One of 3 key assessments </w:t>
            </w:r>
            <w:r w:rsidR="00257F1A" w:rsidRPr="00E47602">
              <w:rPr>
                <w:rFonts w:ascii="Arial" w:hAnsi="Arial" w:cs="Arial"/>
              </w:rPr>
              <w:t xml:space="preserve">to provide a baseline measurement </w:t>
            </w:r>
            <w:r w:rsidRPr="00E47602">
              <w:rPr>
                <w:rFonts w:ascii="Arial" w:hAnsi="Arial" w:cs="Arial"/>
              </w:rPr>
              <w:t>– not always required (with justification)</w:t>
            </w: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RHC is gold standard for diagnosis of PAH – essential unless explicitly contraindicated. RHC relies on ECHO as preliminary test.  </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ECHO</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One of 3 key assessments </w:t>
            </w:r>
            <w:r w:rsidR="00257F1A" w:rsidRPr="00E47602">
              <w:rPr>
                <w:rFonts w:ascii="Arial" w:hAnsi="Arial" w:cs="Arial"/>
              </w:rPr>
              <w:t xml:space="preserve">to provide a baseline measurement </w:t>
            </w:r>
            <w:r w:rsidRPr="00E47602">
              <w:rPr>
                <w:rFonts w:ascii="Arial" w:hAnsi="Arial" w:cs="Arial"/>
              </w:rPr>
              <w:t>– not always required (with justification)</w:t>
            </w: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ECHO not recommended for diagnosis of PAH.</w:t>
            </w:r>
          </w:p>
          <w:p w:rsidR="002B3771" w:rsidRPr="00E47602" w:rsidRDefault="002B3771" w:rsidP="00C21496">
            <w:pPr>
              <w:ind w:left="57" w:right="57"/>
              <w:contextualSpacing/>
              <w:jc w:val="left"/>
              <w:rPr>
                <w:rFonts w:ascii="Arial" w:hAnsi="Arial" w:cs="Arial"/>
              </w:rPr>
            </w:pPr>
            <w:r w:rsidRPr="00E47602">
              <w:rPr>
                <w:rFonts w:ascii="Arial" w:hAnsi="Arial" w:cs="Arial"/>
              </w:rPr>
              <w:t>Recommended as essential part of work-up and decision to proceed to RHC. If RHC is available it is likely that ECHO has been done.</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If no RHC</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RVSP &lt;40 mmHg by ECHO, with normal LVF</w:t>
            </w: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Likelihood of PAH to be based on features suggestive of PAH by ECHO, described in </w:t>
            </w:r>
            <w:r w:rsidR="00DA7FD1" w:rsidRPr="00E47602">
              <w:rPr>
                <w:rFonts w:ascii="Arial" w:hAnsi="Arial" w:cs="Arial"/>
              </w:rPr>
              <w:t>ToR 1 Table 1.10. They</w:t>
            </w:r>
            <w:r w:rsidRPr="00E47602">
              <w:rPr>
                <w:rFonts w:ascii="Arial" w:hAnsi="Arial" w:cs="Arial"/>
              </w:rPr>
              <w:t xml:space="preserve"> not include RVSP or PASP).</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6MWD</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One of 3 key assessments</w:t>
            </w:r>
            <w:r w:rsidR="00DE3FC3" w:rsidRPr="00E47602">
              <w:rPr>
                <w:rFonts w:ascii="Arial" w:hAnsi="Arial" w:cs="Arial"/>
              </w:rPr>
              <w:t xml:space="preserve"> to provide a baseline measurement</w:t>
            </w:r>
            <w:r w:rsidRPr="00E47602">
              <w:rPr>
                <w:rFonts w:ascii="Arial" w:hAnsi="Arial" w:cs="Arial"/>
              </w:rPr>
              <w:t xml:space="preserve"> – not always required (with justification)</w:t>
            </w: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Not diagnostic of PAH. </w:t>
            </w:r>
          </w:p>
          <w:p w:rsidR="002B3771" w:rsidRPr="00E47602" w:rsidRDefault="002B3771" w:rsidP="00C21496">
            <w:pPr>
              <w:ind w:left="57" w:right="57"/>
              <w:contextualSpacing/>
              <w:jc w:val="left"/>
              <w:rPr>
                <w:rFonts w:ascii="Arial" w:hAnsi="Arial" w:cs="Arial"/>
              </w:rPr>
            </w:pPr>
            <w:r w:rsidRPr="00E47602">
              <w:rPr>
                <w:rFonts w:ascii="Arial" w:hAnsi="Arial" w:cs="Arial"/>
              </w:rPr>
              <w:t xml:space="preserve">One of a panel of baseline assessments to assess disease status and patient risk of PAH clinical worsening.  </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Patient risk category</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Not mentioned.</w:t>
            </w:r>
          </w:p>
        </w:tc>
        <w:tc>
          <w:tcPr>
            <w:tcW w:w="3827" w:type="dxa"/>
          </w:tcPr>
          <w:p w:rsidR="002B3771" w:rsidRPr="00E47602" w:rsidRDefault="002B3771" w:rsidP="00C21496">
            <w:pPr>
              <w:ind w:left="57" w:right="57"/>
              <w:contextualSpacing/>
              <w:jc w:val="left"/>
              <w:rPr>
                <w:rFonts w:ascii="Arial" w:hAnsi="Arial" w:cs="Arial"/>
              </w:rPr>
            </w:pPr>
            <w:r w:rsidRPr="00E47602">
              <w:rPr>
                <w:rFonts w:ascii="Arial" w:hAnsi="Arial" w:cs="Arial"/>
              </w:rPr>
              <w:t>Not a feature of approved indications.</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A key assessment for determination of clinical management, treatment decisions and monitoring.  </w:t>
            </w:r>
          </w:p>
          <w:p w:rsidR="002B3771" w:rsidRPr="00E47602" w:rsidRDefault="002B3771" w:rsidP="00C21496">
            <w:pPr>
              <w:ind w:left="57" w:right="57"/>
              <w:contextualSpacing/>
              <w:jc w:val="left"/>
              <w:rPr>
                <w:rFonts w:ascii="Arial" w:hAnsi="Arial" w:cs="Arial"/>
              </w:rPr>
            </w:pPr>
            <w:r w:rsidRPr="00E47602">
              <w:rPr>
                <w:rFonts w:ascii="Arial" w:hAnsi="Arial" w:cs="Arial"/>
              </w:rPr>
              <w:t>There is no definitive set of parameters for patient risk.</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Response to treatment</w:t>
            </w:r>
          </w:p>
        </w:tc>
        <w:tc>
          <w:tcPr>
            <w:tcW w:w="3364" w:type="dxa"/>
          </w:tcPr>
          <w:p w:rsidR="002B3771" w:rsidRPr="00E47602" w:rsidRDefault="002B3771" w:rsidP="00C21496">
            <w:pPr>
              <w:ind w:left="57" w:right="57"/>
              <w:contextualSpacing/>
              <w:jc w:val="left"/>
              <w:rPr>
                <w:rFonts w:ascii="Arial" w:hAnsi="Arial" w:cs="Arial"/>
              </w:rPr>
            </w:pPr>
            <w:r w:rsidRPr="00E47602">
              <w:rPr>
                <w:rFonts w:ascii="Arial" w:hAnsi="Arial" w:cs="Arial"/>
              </w:rPr>
              <w:t>Response defined as stability or improvement of disease.</w:t>
            </w:r>
          </w:p>
          <w:p w:rsidR="002B3771" w:rsidRPr="00E47602" w:rsidRDefault="002B3771" w:rsidP="00C21496">
            <w:pPr>
              <w:ind w:left="57" w:right="57"/>
              <w:contextualSpacing/>
              <w:jc w:val="left"/>
              <w:rPr>
                <w:rFonts w:ascii="Arial" w:hAnsi="Arial" w:cs="Arial"/>
              </w:rPr>
            </w:pPr>
            <w:r w:rsidRPr="00E47602">
              <w:rPr>
                <w:rFonts w:ascii="Arial" w:hAnsi="Arial" w:cs="Arial"/>
              </w:rPr>
              <w:t>Patients who fail to demonstrate a response must cease therapy with that agent.</w:t>
            </w: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 xml:space="preserve">Response defined as clinical improvement and/or progress towards therapeutic goals. Unless disease is severe, maintaining clinical status may still be an inadequate response. </w:t>
            </w:r>
          </w:p>
          <w:p w:rsidR="002B3771" w:rsidRPr="00E47602" w:rsidRDefault="002B3771" w:rsidP="00C21496">
            <w:pPr>
              <w:ind w:left="57" w:right="57"/>
              <w:contextualSpacing/>
              <w:jc w:val="left"/>
              <w:rPr>
                <w:rFonts w:ascii="Arial" w:hAnsi="Arial" w:cs="Arial"/>
              </w:rPr>
            </w:pPr>
            <w:r w:rsidRPr="00E47602">
              <w:rPr>
                <w:rFonts w:ascii="Arial" w:hAnsi="Arial" w:cs="Arial"/>
              </w:rPr>
              <w:t xml:space="preserve">Patients with inadequate clinical response recommended to continue on current therapy and </w:t>
            </w:r>
            <w:r w:rsidR="00DE3FC3" w:rsidRPr="00E47602">
              <w:rPr>
                <w:rFonts w:ascii="Arial" w:hAnsi="Arial" w:cs="Arial"/>
              </w:rPr>
              <w:t xml:space="preserve">to </w:t>
            </w:r>
            <w:r w:rsidRPr="00E47602">
              <w:rPr>
                <w:rFonts w:ascii="Arial" w:hAnsi="Arial" w:cs="Arial"/>
              </w:rPr>
              <w:t>add a further agent from a different class.</w:t>
            </w:r>
          </w:p>
        </w:tc>
      </w:tr>
      <w:tr w:rsidR="00601985" w:rsidRPr="00075CB2" w:rsidTr="00075CB2">
        <w:tc>
          <w:tcPr>
            <w:tcW w:w="1706" w:type="dxa"/>
          </w:tcPr>
          <w:p w:rsidR="002B3771" w:rsidRPr="00E47602" w:rsidRDefault="002B3771" w:rsidP="00C21496">
            <w:pPr>
              <w:ind w:left="57" w:right="57"/>
              <w:contextualSpacing/>
              <w:jc w:val="left"/>
              <w:rPr>
                <w:rFonts w:ascii="Arial" w:hAnsi="Arial" w:cs="Arial"/>
              </w:rPr>
            </w:pPr>
            <w:r w:rsidRPr="00E47602">
              <w:rPr>
                <w:rFonts w:ascii="Arial" w:hAnsi="Arial" w:cs="Arial"/>
              </w:rPr>
              <w:t>Timing of follow-up</w:t>
            </w:r>
          </w:p>
        </w:tc>
        <w:tc>
          <w:tcPr>
            <w:tcW w:w="3364" w:type="dxa"/>
          </w:tcPr>
          <w:p w:rsidR="002B3771" w:rsidRDefault="002B3771" w:rsidP="00C21496">
            <w:pPr>
              <w:ind w:left="57" w:right="57"/>
              <w:contextualSpacing/>
              <w:jc w:val="left"/>
              <w:rPr>
                <w:rFonts w:ascii="Arial" w:hAnsi="Arial" w:cs="Arial"/>
              </w:rPr>
            </w:pPr>
            <w:r w:rsidRPr="00E47602">
              <w:rPr>
                <w:rFonts w:ascii="Arial" w:hAnsi="Arial" w:cs="Arial"/>
              </w:rPr>
              <w:t>Each authority approval should provide 6 months</w:t>
            </w:r>
            <w:r w:rsidR="00DE3FC3" w:rsidRPr="00E47602">
              <w:rPr>
                <w:rFonts w:ascii="Arial" w:hAnsi="Arial" w:cs="Arial"/>
              </w:rPr>
              <w:t xml:space="preserve"> of</w:t>
            </w:r>
            <w:r w:rsidRPr="00E47602">
              <w:rPr>
                <w:rFonts w:ascii="Arial" w:hAnsi="Arial" w:cs="Arial"/>
              </w:rPr>
              <w:t xml:space="preserve"> treatment; follow-up required at 5 months to make next application.  </w:t>
            </w:r>
          </w:p>
          <w:p w:rsidR="009F5016" w:rsidRDefault="009F5016" w:rsidP="00C21496">
            <w:pPr>
              <w:ind w:left="57" w:right="57"/>
              <w:contextualSpacing/>
              <w:jc w:val="left"/>
              <w:rPr>
                <w:rFonts w:ascii="Arial" w:hAnsi="Arial" w:cs="Arial"/>
              </w:rPr>
            </w:pPr>
          </w:p>
          <w:p w:rsidR="009F5016" w:rsidRPr="00E47602" w:rsidRDefault="009F5016" w:rsidP="00C21496">
            <w:pPr>
              <w:ind w:left="57" w:right="57"/>
              <w:contextualSpacing/>
              <w:jc w:val="left"/>
              <w:rPr>
                <w:rFonts w:ascii="Arial" w:hAnsi="Arial" w:cs="Arial"/>
              </w:rPr>
            </w:pPr>
          </w:p>
        </w:tc>
        <w:tc>
          <w:tcPr>
            <w:tcW w:w="3827" w:type="dxa"/>
          </w:tcPr>
          <w:p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rsidR="002B3771" w:rsidRPr="00E47602" w:rsidRDefault="002B3771" w:rsidP="00C21496">
            <w:pPr>
              <w:ind w:left="57" w:right="57"/>
              <w:contextualSpacing/>
              <w:jc w:val="left"/>
              <w:rPr>
                <w:rFonts w:ascii="Arial" w:hAnsi="Arial" w:cs="Arial"/>
              </w:rPr>
            </w:pPr>
            <w:r w:rsidRPr="00E47602">
              <w:rPr>
                <w:rFonts w:ascii="Arial" w:hAnsi="Arial" w:cs="Arial"/>
              </w:rPr>
              <w:t>Follow-up at 3-6 months after change in therapy; or on clinical worsening</w:t>
            </w:r>
          </w:p>
        </w:tc>
      </w:tr>
      <w:tr w:rsidR="009F5016" w:rsidRPr="00075CB2" w:rsidTr="00075CB2">
        <w:tc>
          <w:tcPr>
            <w:tcW w:w="1706" w:type="dxa"/>
          </w:tcPr>
          <w:p w:rsidR="009F5016" w:rsidRPr="00E47602" w:rsidRDefault="009F5016" w:rsidP="00F02A35">
            <w:pPr>
              <w:ind w:left="57" w:right="57"/>
              <w:contextualSpacing/>
              <w:jc w:val="left"/>
              <w:rPr>
                <w:rFonts w:ascii="Arial" w:hAnsi="Arial" w:cs="Arial"/>
              </w:rPr>
            </w:pPr>
            <w:r w:rsidRPr="00E47602">
              <w:rPr>
                <w:rFonts w:ascii="Arial" w:hAnsi="Arial" w:cs="Arial"/>
              </w:rPr>
              <w:t>Patient age group</w:t>
            </w:r>
          </w:p>
        </w:tc>
        <w:tc>
          <w:tcPr>
            <w:tcW w:w="3364" w:type="dxa"/>
          </w:tcPr>
          <w:p w:rsidR="009F5016" w:rsidRPr="00E47602" w:rsidRDefault="009F5016" w:rsidP="00F02A35">
            <w:pPr>
              <w:ind w:left="57" w:right="57"/>
              <w:contextualSpacing/>
              <w:jc w:val="left"/>
              <w:rPr>
                <w:rFonts w:ascii="Arial" w:hAnsi="Arial" w:cs="Arial"/>
              </w:rPr>
            </w:pPr>
            <w:r w:rsidRPr="00E47602">
              <w:rPr>
                <w:rFonts w:ascii="Arial" w:hAnsi="Arial" w:cs="Arial"/>
              </w:rPr>
              <w:t>Restrictions silent on age group</w:t>
            </w:r>
          </w:p>
        </w:tc>
        <w:tc>
          <w:tcPr>
            <w:tcW w:w="3827" w:type="dxa"/>
          </w:tcPr>
          <w:p w:rsidR="009F5016" w:rsidRPr="00E47602" w:rsidRDefault="009F5016" w:rsidP="00F02A35">
            <w:pPr>
              <w:ind w:left="57" w:right="57"/>
              <w:contextualSpacing/>
              <w:jc w:val="left"/>
              <w:rPr>
                <w:rFonts w:ascii="Arial" w:hAnsi="Arial" w:cs="Arial"/>
              </w:rPr>
            </w:pPr>
            <w:r w:rsidRPr="00E47602">
              <w:rPr>
                <w:rFonts w:ascii="Arial" w:hAnsi="Arial" w:cs="Arial"/>
              </w:rPr>
              <w:t>Only bosentan approved for use in children.</w:t>
            </w:r>
          </w:p>
          <w:p w:rsidR="009F5016" w:rsidRPr="00E47602" w:rsidRDefault="009F5016" w:rsidP="00F02A35">
            <w:pPr>
              <w:ind w:left="57" w:right="57"/>
              <w:contextualSpacing/>
              <w:jc w:val="left"/>
              <w:rPr>
                <w:rFonts w:ascii="Arial" w:hAnsi="Arial" w:cs="Arial"/>
              </w:rPr>
            </w:pPr>
          </w:p>
        </w:tc>
        <w:tc>
          <w:tcPr>
            <w:tcW w:w="5071" w:type="dxa"/>
          </w:tcPr>
          <w:p w:rsidR="009F5016" w:rsidRPr="00E47602" w:rsidRDefault="009F5016" w:rsidP="00F02A35">
            <w:pPr>
              <w:ind w:left="57" w:right="57"/>
              <w:contextualSpacing/>
              <w:jc w:val="left"/>
              <w:rPr>
                <w:rFonts w:ascii="Arial" w:hAnsi="Arial" w:cs="Arial"/>
              </w:rPr>
            </w:pPr>
            <w:r w:rsidRPr="00E47602">
              <w:rPr>
                <w:rFonts w:ascii="Arial" w:hAnsi="Arial" w:cs="Arial"/>
              </w:rPr>
              <w:t>Treatment and diagnostic recommendations broadly the same in children as for adults.</w:t>
            </w:r>
          </w:p>
          <w:p w:rsidR="009F5016" w:rsidRPr="00E47602" w:rsidRDefault="009F5016" w:rsidP="00F02A35">
            <w:pPr>
              <w:ind w:left="57" w:right="57"/>
              <w:contextualSpacing/>
              <w:jc w:val="left"/>
              <w:rPr>
                <w:rFonts w:ascii="Arial" w:hAnsi="Arial" w:cs="Arial"/>
              </w:rPr>
            </w:pPr>
            <w:r w:rsidRPr="00E47602">
              <w:rPr>
                <w:rFonts w:ascii="Arial" w:hAnsi="Arial" w:cs="Arial"/>
              </w:rPr>
              <w:t>6MWD not prognostic for PAH in children.</w:t>
            </w:r>
          </w:p>
          <w:p w:rsidR="009F5016" w:rsidRDefault="009F5016" w:rsidP="00F02A35">
            <w:pPr>
              <w:ind w:left="57" w:right="57"/>
              <w:contextualSpacing/>
              <w:jc w:val="left"/>
              <w:rPr>
                <w:rFonts w:ascii="Arial" w:hAnsi="Arial" w:cs="Arial"/>
              </w:rPr>
            </w:pPr>
            <w:r w:rsidRPr="00E47602">
              <w:rPr>
                <w:rFonts w:ascii="Arial" w:hAnsi="Arial" w:cs="Arial"/>
              </w:rPr>
              <w:t>Dose adjustment required for sildenafil in children.</w:t>
            </w:r>
          </w:p>
          <w:p w:rsidR="009F5016" w:rsidRPr="00E47602" w:rsidRDefault="009F5016" w:rsidP="00F02A35">
            <w:pPr>
              <w:ind w:left="57" w:right="57"/>
              <w:contextualSpacing/>
              <w:jc w:val="left"/>
              <w:rPr>
                <w:rFonts w:ascii="Arial" w:hAnsi="Arial" w:cs="Arial"/>
              </w:rPr>
            </w:pPr>
          </w:p>
        </w:tc>
      </w:tr>
      <w:tr w:rsidR="009F5016" w:rsidRPr="00075CB2" w:rsidTr="00075CB2">
        <w:tc>
          <w:tcPr>
            <w:tcW w:w="1706" w:type="dxa"/>
          </w:tcPr>
          <w:p w:rsidR="009F5016" w:rsidRPr="004A0E15" w:rsidRDefault="009F5016" w:rsidP="007D326B">
            <w:pPr>
              <w:ind w:left="57" w:right="57"/>
              <w:contextualSpacing/>
              <w:jc w:val="left"/>
              <w:rPr>
                <w:rFonts w:ascii="Arial" w:hAnsi="Arial" w:cs="Arial"/>
              </w:rPr>
            </w:pPr>
            <w:r w:rsidRPr="004A0E15">
              <w:rPr>
                <w:rFonts w:ascii="Arial" w:hAnsi="Arial" w:cs="Arial"/>
              </w:rPr>
              <w:lastRenderedPageBreak/>
              <w:t xml:space="preserve">Trial of vasodilators – patients </w:t>
            </w:r>
          </w:p>
        </w:tc>
        <w:tc>
          <w:tcPr>
            <w:tcW w:w="3364" w:type="dxa"/>
          </w:tcPr>
          <w:p w:rsidR="009F5016" w:rsidRPr="004A0E15" w:rsidRDefault="009F5016" w:rsidP="007D326B">
            <w:pPr>
              <w:ind w:left="57" w:right="57"/>
              <w:contextualSpacing/>
              <w:jc w:val="left"/>
              <w:rPr>
                <w:rFonts w:ascii="Arial" w:hAnsi="Arial" w:cs="Arial"/>
              </w:rPr>
            </w:pPr>
            <w:r w:rsidRPr="004A0E15">
              <w:rPr>
                <w:rFonts w:ascii="Arial" w:hAnsi="Arial" w:cs="Arial"/>
              </w:rPr>
              <w:t>Required for WHO FC III – IPAH, HPAH, PAH and PAH-CTD</w:t>
            </w:r>
          </w:p>
          <w:p w:rsidR="009F5016" w:rsidRPr="004A0E15" w:rsidRDefault="009F5016" w:rsidP="007D326B">
            <w:pPr>
              <w:ind w:left="57" w:right="57"/>
              <w:contextualSpacing/>
              <w:jc w:val="left"/>
              <w:rPr>
                <w:rFonts w:ascii="Arial" w:hAnsi="Arial" w:cs="Arial"/>
              </w:rPr>
            </w:pPr>
            <w:r w:rsidRPr="004A0E15">
              <w:rPr>
                <w:rFonts w:ascii="Arial" w:hAnsi="Arial" w:cs="Arial"/>
              </w:rPr>
              <w:t>Not required for PAH-CHD</w:t>
            </w:r>
          </w:p>
        </w:tc>
        <w:tc>
          <w:tcPr>
            <w:tcW w:w="3827" w:type="dxa"/>
          </w:tcPr>
          <w:p w:rsidR="009F5016" w:rsidRPr="004A0E15" w:rsidRDefault="009F5016" w:rsidP="007D326B">
            <w:pPr>
              <w:ind w:left="57" w:right="57"/>
              <w:contextualSpacing/>
              <w:jc w:val="left"/>
              <w:rPr>
                <w:rFonts w:ascii="Arial" w:hAnsi="Arial" w:cs="Arial"/>
              </w:rPr>
            </w:pPr>
            <w:r w:rsidRPr="004A0E15">
              <w:rPr>
                <w:rFonts w:ascii="Arial" w:hAnsi="Arial" w:cs="Arial"/>
              </w:rPr>
              <w:t>High dose CCBs therapy is off-label use in PAH.</w:t>
            </w:r>
          </w:p>
          <w:p w:rsidR="009F5016" w:rsidRPr="004A0E15" w:rsidRDefault="009F5016" w:rsidP="007D326B">
            <w:pPr>
              <w:ind w:left="57" w:right="57"/>
              <w:contextualSpacing/>
              <w:jc w:val="left"/>
              <w:rPr>
                <w:rFonts w:ascii="Arial" w:hAnsi="Arial" w:cs="Arial"/>
              </w:rPr>
            </w:pPr>
            <w:r w:rsidRPr="004A0E15">
              <w:rPr>
                <w:rFonts w:ascii="Arial" w:hAnsi="Arial" w:cs="Arial"/>
              </w:rPr>
              <w:t xml:space="preserve">Dosing and safety not included in PI for CCBs (diltiazem, </w:t>
            </w:r>
            <w:proofErr w:type="spellStart"/>
            <w:r w:rsidRPr="004A0E15">
              <w:rPr>
                <w:rFonts w:ascii="Arial" w:hAnsi="Arial" w:cs="Arial"/>
              </w:rPr>
              <w:t>nifedipine</w:t>
            </w:r>
            <w:proofErr w:type="spellEnd"/>
            <w:r w:rsidRPr="004A0E15">
              <w:rPr>
                <w:rFonts w:ascii="Arial" w:hAnsi="Arial" w:cs="Arial"/>
              </w:rPr>
              <w:t>, amlodipine)</w:t>
            </w:r>
          </w:p>
        </w:tc>
        <w:tc>
          <w:tcPr>
            <w:tcW w:w="5071" w:type="dxa"/>
          </w:tcPr>
          <w:p w:rsidR="009F5016" w:rsidRPr="004A0E15" w:rsidRDefault="009F5016" w:rsidP="007D326B">
            <w:pPr>
              <w:ind w:left="57" w:right="57"/>
              <w:contextualSpacing/>
              <w:jc w:val="left"/>
              <w:rPr>
                <w:rFonts w:ascii="Arial" w:hAnsi="Arial" w:cs="Arial"/>
              </w:rPr>
            </w:pPr>
            <w:r w:rsidRPr="004A0E15">
              <w:rPr>
                <w:rFonts w:ascii="Arial" w:hAnsi="Arial" w:cs="Arial"/>
              </w:rPr>
              <w:t>Recommended for IPAH, HPAH and PAH-DT patients only.</w:t>
            </w:r>
          </w:p>
          <w:p w:rsidR="009F5016" w:rsidRPr="004A0E15" w:rsidRDefault="009F5016" w:rsidP="007D326B">
            <w:pPr>
              <w:ind w:left="57" w:right="57"/>
              <w:contextualSpacing/>
              <w:jc w:val="left"/>
              <w:rPr>
                <w:rFonts w:ascii="Arial" w:hAnsi="Arial" w:cs="Arial"/>
              </w:rPr>
            </w:pPr>
            <w:r w:rsidRPr="004A0E15">
              <w:rPr>
                <w:rFonts w:ascii="Arial" w:hAnsi="Arial" w:cs="Arial"/>
              </w:rPr>
              <w:t>Patients not showing acute vasoreactivity response unsuited to CCBs due to safety concerns and lack of benefit</w:t>
            </w:r>
          </w:p>
          <w:p w:rsidR="009F5016" w:rsidRPr="004A0E15" w:rsidRDefault="009F5016" w:rsidP="007D326B">
            <w:pPr>
              <w:ind w:left="57" w:right="57"/>
              <w:contextualSpacing/>
              <w:jc w:val="left"/>
              <w:rPr>
                <w:rFonts w:ascii="Arial" w:hAnsi="Arial" w:cs="Arial"/>
              </w:rPr>
            </w:pPr>
            <w:r w:rsidRPr="004A0E15">
              <w:rPr>
                <w:rFonts w:ascii="Arial" w:hAnsi="Arial" w:cs="Arial"/>
              </w:rPr>
              <w:t>Not recommended: PAH-CTD or PAH-CHD</w:t>
            </w:r>
          </w:p>
        </w:tc>
      </w:tr>
      <w:tr w:rsidR="009F5016" w:rsidRPr="00075CB2" w:rsidTr="00075CB2">
        <w:tc>
          <w:tcPr>
            <w:tcW w:w="1706" w:type="dxa"/>
          </w:tcPr>
          <w:p w:rsidR="009F5016" w:rsidRPr="00E47602" w:rsidRDefault="009F5016" w:rsidP="007D326B">
            <w:pPr>
              <w:ind w:left="57" w:right="57"/>
              <w:contextualSpacing/>
              <w:jc w:val="left"/>
              <w:rPr>
                <w:rFonts w:ascii="Arial" w:hAnsi="Arial" w:cs="Arial"/>
              </w:rPr>
            </w:pPr>
            <w:r w:rsidRPr="00E47602">
              <w:rPr>
                <w:rFonts w:ascii="Arial" w:hAnsi="Arial" w:cs="Arial"/>
              </w:rPr>
              <w:t>Trial of vasodilators – test criterion</w:t>
            </w:r>
          </w:p>
        </w:tc>
        <w:tc>
          <w:tcPr>
            <w:tcW w:w="3364" w:type="dxa"/>
          </w:tcPr>
          <w:p w:rsidR="009F5016" w:rsidRPr="00E47602" w:rsidRDefault="009F5016" w:rsidP="007D326B">
            <w:pPr>
              <w:ind w:left="57" w:right="57"/>
              <w:contextualSpacing/>
              <w:jc w:val="left"/>
              <w:rPr>
                <w:rFonts w:ascii="Arial" w:hAnsi="Arial" w:cs="Arial"/>
              </w:rPr>
            </w:pPr>
            <w:proofErr w:type="spellStart"/>
            <w:r w:rsidRPr="00E47602">
              <w:rPr>
                <w:rFonts w:ascii="Arial" w:hAnsi="Arial" w:cs="Arial"/>
              </w:rPr>
              <w:t>mRAP</w:t>
            </w:r>
            <w:proofErr w:type="spellEnd"/>
            <w:r w:rsidRPr="00E47602">
              <w:rPr>
                <w:rFonts w:ascii="Arial" w:hAnsi="Arial" w:cs="Arial"/>
              </w:rPr>
              <w:t xml:space="preserve"> 8mm Hg or below, by RHC</w:t>
            </w:r>
          </w:p>
        </w:tc>
        <w:tc>
          <w:tcPr>
            <w:tcW w:w="3827" w:type="dxa"/>
          </w:tcPr>
          <w:p w:rsidR="009F5016" w:rsidRPr="00E47602" w:rsidRDefault="009F5016" w:rsidP="007D326B">
            <w:pPr>
              <w:ind w:left="57" w:right="57"/>
              <w:contextualSpacing/>
              <w:jc w:val="center"/>
              <w:rPr>
                <w:rFonts w:ascii="Arial" w:hAnsi="Arial" w:cs="Arial"/>
              </w:rPr>
            </w:pPr>
            <w:r w:rsidRPr="00E47602">
              <w:rPr>
                <w:rFonts w:ascii="Arial" w:hAnsi="Arial" w:cs="Arial"/>
              </w:rPr>
              <w:t>—</w:t>
            </w:r>
          </w:p>
        </w:tc>
        <w:tc>
          <w:tcPr>
            <w:tcW w:w="5071" w:type="dxa"/>
          </w:tcPr>
          <w:p w:rsidR="009F5016" w:rsidRPr="00E47602" w:rsidRDefault="009F5016" w:rsidP="007D326B">
            <w:pPr>
              <w:ind w:left="57" w:right="57"/>
              <w:contextualSpacing/>
              <w:jc w:val="left"/>
              <w:rPr>
                <w:rFonts w:ascii="Arial" w:hAnsi="Arial" w:cs="Arial"/>
              </w:rPr>
            </w:pPr>
            <w:r w:rsidRPr="00E47602">
              <w:rPr>
                <w:rFonts w:ascii="Arial" w:hAnsi="Arial" w:cs="Arial"/>
              </w:rPr>
              <w:t xml:space="preserve">Positive response to acute vasoreactivity test during RHC defined as decrease in </w:t>
            </w:r>
            <w:proofErr w:type="spellStart"/>
            <w:r w:rsidRPr="00E47602">
              <w:rPr>
                <w:rFonts w:ascii="Arial" w:hAnsi="Arial" w:cs="Arial"/>
              </w:rPr>
              <w:t>mPAP</w:t>
            </w:r>
            <w:proofErr w:type="spellEnd"/>
            <w:r w:rsidRPr="00E47602">
              <w:rPr>
                <w:rFonts w:ascii="Arial" w:hAnsi="Arial" w:cs="Arial"/>
              </w:rPr>
              <w:t xml:space="preserve"> &gt;10 mm Hg, to an </w:t>
            </w:r>
            <w:proofErr w:type="spellStart"/>
            <w:r w:rsidRPr="00E47602">
              <w:rPr>
                <w:rFonts w:ascii="Arial" w:hAnsi="Arial" w:cs="Arial"/>
              </w:rPr>
              <w:t>mPAP</w:t>
            </w:r>
            <w:proofErr w:type="spellEnd"/>
            <w:r w:rsidRPr="00E47602">
              <w:rPr>
                <w:rFonts w:ascii="Arial" w:hAnsi="Arial" w:cs="Arial"/>
              </w:rPr>
              <w:t xml:space="preserve"> &lt;40 mm Hg, with no worsening of cardiac output</w:t>
            </w:r>
          </w:p>
        </w:tc>
      </w:tr>
      <w:tr w:rsidR="009F5016" w:rsidRPr="00075CB2" w:rsidTr="00075CB2">
        <w:tc>
          <w:tcPr>
            <w:tcW w:w="1706" w:type="dxa"/>
          </w:tcPr>
          <w:p w:rsidR="009F5016" w:rsidRPr="00E47602" w:rsidRDefault="009F5016" w:rsidP="007D326B">
            <w:pPr>
              <w:ind w:left="57" w:right="57"/>
              <w:contextualSpacing/>
              <w:jc w:val="left"/>
              <w:rPr>
                <w:rFonts w:ascii="Arial" w:hAnsi="Arial" w:cs="Arial"/>
              </w:rPr>
            </w:pPr>
            <w:r w:rsidRPr="00E47602">
              <w:rPr>
                <w:rFonts w:ascii="Arial" w:hAnsi="Arial" w:cs="Arial"/>
              </w:rPr>
              <w:t>Trial of vasodilators – response</w:t>
            </w:r>
          </w:p>
        </w:tc>
        <w:tc>
          <w:tcPr>
            <w:tcW w:w="3364" w:type="dxa"/>
          </w:tcPr>
          <w:p w:rsidR="009F5016" w:rsidRPr="00E47602" w:rsidRDefault="009F5016" w:rsidP="007D326B">
            <w:pPr>
              <w:ind w:left="57" w:right="57"/>
              <w:contextualSpacing/>
              <w:jc w:val="left"/>
              <w:rPr>
                <w:rFonts w:ascii="Arial" w:hAnsi="Arial" w:cs="Arial"/>
              </w:rPr>
            </w:pPr>
            <w:r w:rsidRPr="00E47602">
              <w:rPr>
                <w:rFonts w:ascii="Arial" w:hAnsi="Arial" w:cs="Arial"/>
              </w:rPr>
              <w:t>Minimum trial of 6 weeks required.</w:t>
            </w:r>
          </w:p>
          <w:p w:rsidR="009F5016" w:rsidRPr="00E47602" w:rsidRDefault="009F5016" w:rsidP="007D326B">
            <w:pPr>
              <w:ind w:left="57" w:right="57"/>
              <w:contextualSpacing/>
              <w:jc w:val="left"/>
              <w:rPr>
                <w:rFonts w:ascii="Arial" w:hAnsi="Arial" w:cs="Arial"/>
              </w:rPr>
            </w:pPr>
            <w:r w:rsidRPr="00E47602">
              <w:rPr>
                <w:rFonts w:ascii="Arial" w:hAnsi="Arial" w:cs="Arial"/>
              </w:rPr>
              <w:t>Same definition as for response to PAH agents</w:t>
            </w:r>
          </w:p>
        </w:tc>
        <w:tc>
          <w:tcPr>
            <w:tcW w:w="3827" w:type="dxa"/>
          </w:tcPr>
          <w:p w:rsidR="009F5016" w:rsidRPr="00E47602" w:rsidRDefault="009F5016" w:rsidP="007D326B">
            <w:pPr>
              <w:ind w:left="57" w:right="57"/>
              <w:contextualSpacing/>
              <w:jc w:val="center"/>
              <w:rPr>
                <w:rFonts w:ascii="Arial" w:hAnsi="Arial" w:cs="Arial"/>
              </w:rPr>
            </w:pPr>
            <w:r w:rsidRPr="00E47602">
              <w:rPr>
                <w:rFonts w:ascii="Arial" w:hAnsi="Arial" w:cs="Arial"/>
              </w:rPr>
              <w:t>—</w:t>
            </w:r>
          </w:p>
        </w:tc>
        <w:tc>
          <w:tcPr>
            <w:tcW w:w="5071" w:type="dxa"/>
          </w:tcPr>
          <w:p w:rsidR="009F5016" w:rsidRPr="00E47602" w:rsidRDefault="009F5016" w:rsidP="007D326B">
            <w:pPr>
              <w:ind w:left="57" w:right="57"/>
              <w:contextualSpacing/>
              <w:jc w:val="left"/>
              <w:rPr>
                <w:rFonts w:ascii="Arial" w:hAnsi="Arial" w:cs="Arial"/>
              </w:rPr>
            </w:pPr>
            <w:r w:rsidRPr="00E47602">
              <w:rPr>
                <w:rFonts w:ascii="Arial" w:hAnsi="Arial" w:cs="Arial"/>
              </w:rPr>
              <w:t>Follow-up at ~3 months.</w:t>
            </w:r>
          </w:p>
          <w:p w:rsidR="009F5016" w:rsidRPr="00E47602" w:rsidRDefault="009F5016" w:rsidP="007D326B">
            <w:pPr>
              <w:ind w:left="57" w:right="57"/>
              <w:contextualSpacing/>
              <w:jc w:val="left"/>
              <w:rPr>
                <w:rFonts w:ascii="Arial" w:hAnsi="Arial" w:cs="Arial"/>
              </w:rPr>
            </w:pPr>
            <w:r w:rsidRPr="00E47602">
              <w:rPr>
                <w:rFonts w:ascii="Arial" w:hAnsi="Arial" w:cs="Arial"/>
              </w:rPr>
              <w:t>Response should show a dramatic improvement or near normalisation to ~WHO FC I</w:t>
            </w:r>
          </w:p>
        </w:tc>
      </w:tr>
      <w:tr w:rsidR="009F5016" w:rsidRPr="00075CB2" w:rsidTr="00075CB2">
        <w:tc>
          <w:tcPr>
            <w:tcW w:w="1706" w:type="dxa"/>
          </w:tcPr>
          <w:p w:rsidR="009F5016" w:rsidRPr="00E47602" w:rsidRDefault="009F5016" w:rsidP="007D326B">
            <w:pPr>
              <w:ind w:left="57" w:right="57"/>
              <w:contextualSpacing/>
              <w:jc w:val="left"/>
              <w:rPr>
                <w:rFonts w:ascii="Arial" w:hAnsi="Arial" w:cs="Arial"/>
              </w:rPr>
            </w:pPr>
            <w:r w:rsidRPr="00E47602">
              <w:rPr>
                <w:rFonts w:ascii="Arial" w:hAnsi="Arial" w:cs="Arial"/>
              </w:rPr>
              <w:t>Designated hospitals</w:t>
            </w:r>
          </w:p>
        </w:tc>
        <w:tc>
          <w:tcPr>
            <w:tcW w:w="3364" w:type="dxa"/>
          </w:tcPr>
          <w:p w:rsidR="009F5016" w:rsidRPr="00E47602" w:rsidRDefault="009F5016" w:rsidP="007D326B">
            <w:pPr>
              <w:ind w:left="57" w:right="57"/>
              <w:contextualSpacing/>
              <w:jc w:val="left"/>
              <w:rPr>
                <w:rFonts w:ascii="Arial" w:hAnsi="Arial" w:cs="Arial"/>
              </w:rPr>
            </w:pPr>
            <w:r w:rsidRPr="00E47602">
              <w:rPr>
                <w:rFonts w:ascii="Arial" w:hAnsi="Arial" w:cs="Arial"/>
              </w:rPr>
              <w:t>&gt;60 centres listed by DHS</w:t>
            </w:r>
          </w:p>
        </w:tc>
        <w:tc>
          <w:tcPr>
            <w:tcW w:w="3827" w:type="dxa"/>
          </w:tcPr>
          <w:p w:rsidR="009F5016" w:rsidRPr="00E47602" w:rsidRDefault="009F5016" w:rsidP="007D326B">
            <w:pPr>
              <w:ind w:left="57" w:right="57"/>
              <w:contextualSpacing/>
              <w:jc w:val="center"/>
              <w:rPr>
                <w:rFonts w:ascii="Arial" w:hAnsi="Arial" w:cs="Arial"/>
              </w:rPr>
            </w:pPr>
            <w:r w:rsidRPr="00E47602">
              <w:rPr>
                <w:rFonts w:ascii="Arial" w:hAnsi="Arial" w:cs="Arial"/>
              </w:rPr>
              <w:t>—</w:t>
            </w:r>
          </w:p>
        </w:tc>
        <w:tc>
          <w:tcPr>
            <w:tcW w:w="5071" w:type="dxa"/>
          </w:tcPr>
          <w:p w:rsidR="009F5016" w:rsidRPr="00E47602" w:rsidRDefault="009F5016" w:rsidP="007D326B">
            <w:pPr>
              <w:ind w:left="57" w:right="57"/>
              <w:contextualSpacing/>
              <w:jc w:val="left"/>
              <w:rPr>
                <w:rFonts w:ascii="Arial" w:hAnsi="Arial" w:cs="Arial"/>
              </w:rPr>
            </w:pPr>
            <w:r w:rsidRPr="00E47602">
              <w:rPr>
                <w:rFonts w:ascii="Arial" w:hAnsi="Arial" w:cs="Arial"/>
              </w:rPr>
              <w:t>PAH treatment centres should see at least 300 referred patients per year; 50 RHC procedures per year</w:t>
            </w:r>
          </w:p>
        </w:tc>
      </w:tr>
    </w:tbl>
    <w:p w:rsidR="002B3771" w:rsidRPr="009F5016" w:rsidRDefault="002B3771" w:rsidP="009F5016">
      <w:pPr>
        <w:pStyle w:val="Tablenote"/>
        <w:jc w:val="left"/>
      </w:pPr>
      <w:r w:rsidRPr="00E47602">
        <w:t>PBS=Pharmaceutical Benefits Scheme; TGA=Therapeutic Goods Administration; PAH=pulmonary arterial hypertension; WHO=World Health Organization; FC=functional class; PDE</w:t>
      </w:r>
      <w:r w:rsidRPr="00E47602">
        <w:noBreakHyphen/>
        <w:t xml:space="preserve">5i=phosphodiesterase type 5 inhibitor; ERA=endothelin receptor antagonist; ESC=European Society of Cardiology; ERS=European Respiratory Society; FC=functional class, </w:t>
      </w:r>
      <w:proofErr w:type="spellStart"/>
      <w:r w:rsidRPr="00E47602">
        <w:t>SoC</w:t>
      </w:r>
      <w:proofErr w:type="spellEnd"/>
      <w:r w:rsidRPr="00E47602">
        <w:t xml:space="preserve">=standard of care; PAH-‘XXX’=PAH due to (CHD=congenital heart disease; DT=drug or toxin induced; CTD=connective tissue disease; HIV=Human Immunodeficiency Virus; or, PH=portal hypertension); IPAH=idiopathic PAH; HPAH=heritable PAH; RHC=right heart catheterisation; ECHO=echocardiography; RVSP=right ventricular systolic pressure; LVF=left ventricular function; PASP=pulmonary artery systolic pressure; 6MWD=6 minute walk distance; CCB=calcium channel blocker; PI=product information; </w:t>
      </w:r>
      <w:proofErr w:type="spellStart"/>
      <w:r w:rsidRPr="00E47602">
        <w:t>mRAP</w:t>
      </w:r>
      <w:proofErr w:type="spellEnd"/>
      <w:r w:rsidRPr="00E47602">
        <w:t>=mean right atrial pressure; DHS=Department of Human Services.</w:t>
      </w:r>
    </w:p>
    <w:p w:rsidR="002B3771" w:rsidRPr="00E47602" w:rsidRDefault="002B3771" w:rsidP="00C21496">
      <w:pPr>
        <w:pStyle w:val="Tablenote"/>
        <w:jc w:val="left"/>
        <w:sectPr w:rsidR="002B3771" w:rsidRPr="00E47602" w:rsidSect="002B3771">
          <w:endnotePr>
            <w:numFmt w:val="decimal"/>
          </w:endnotePr>
          <w:pgSz w:w="16838" w:h="11906" w:orient="landscape"/>
          <w:pgMar w:top="1134" w:right="1134" w:bottom="1134" w:left="1134" w:header="709" w:footer="709" w:gutter="0"/>
          <w:cols w:space="708"/>
          <w:titlePg/>
          <w:docGrid w:linePitch="360"/>
        </w:sectPr>
      </w:pPr>
    </w:p>
    <w:p w:rsidR="003E2066" w:rsidRDefault="003E2066" w:rsidP="00C21496">
      <w:pPr>
        <w:pStyle w:val="Heading3"/>
        <w:jc w:val="left"/>
      </w:pPr>
      <w:bookmarkStart w:id="36" w:name="_Toc511047267"/>
      <w:bookmarkStart w:id="37" w:name="_Toc513110235"/>
      <w:r w:rsidRPr="003E2066">
        <w:lastRenderedPageBreak/>
        <w:t>Stakeholder</w:t>
      </w:r>
      <w:r>
        <w:t xml:space="preserve"> Views</w:t>
      </w:r>
      <w:bookmarkEnd w:id="36"/>
      <w:bookmarkEnd w:id="37"/>
    </w:p>
    <w:p w:rsidR="003E2066" w:rsidRPr="00112C29" w:rsidRDefault="003E2066" w:rsidP="001960CE">
      <w:pPr>
        <w:pStyle w:val="ListParagraph"/>
        <w:numPr>
          <w:ilvl w:val="0"/>
          <w:numId w:val="33"/>
        </w:numPr>
        <w:jc w:val="left"/>
      </w:pPr>
      <w:r w:rsidRPr="00112C29">
        <w:t>Stakeholders consider the ESC/ERS guidelines to be the most relevant to Australian practice and note they incorporate the latest evidence for combination therapy.</w:t>
      </w:r>
    </w:p>
    <w:p w:rsidR="003E2066" w:rsidRPr="00112C29" w:rsidRDefault="003E2066" w:rsidP="001960CE">
      <w:pPr>
        <w:pStyle w:val="ListParagraph"/>
        <w:numPr>
          <w:ilvl w:val="0"/>
          <w:numId w:val="33"/>
        </w:numPr>
        <w:jc w:val="left"/>
      </w:pPr>
      <w:r w:rsidRPr="00112C29">
        <w:t xml:space="preserve">Stakeholders are concerned that Australians do not have the same access to the range or combination of PAH </w:t>
      </w:r>
      <w:r w:rsidR="00B66044">
        <w:t>medicines</w:t>
      </w:r>
      <w:r w:rsidRPr="00112C29">
        <w:t xml:space="preserve"> at an affordable cost, compared to international patients.</w:t>
      </w:r>
    </w:p>
    <w:p w:rsidR="003E2066" w:rsidRPr="00112C29" w:rsidRDefault="003E2066" w:rsidP="001960CE">
      <w:pPr>
        <w:pStyle w:val="ListParagraph"/>
        <w:numPr>
          <w:ilvl w:val="0"/>
          <w:numId w:val="33"/>
        </w:numPr>
        <w:jc w:val="left"/>
      </w:pPr>
      <w:r w:rsidRPr="00112C29">
        <w:t>Stakeholders consider that PAH medicines should not be reimbursed based on the cause of PAH or the functional class (FC), and suggests PAH medicines should be available to all PAH patients regardless of what type, FC or severity of PAH disease.</w:t>
      </w:r>
    </w:p>
    <w:p w:rsidR="003E2066" w:rsidRPr="00112C29" w:rsidRDefault="003E2066" w:rsidP="001960CE">
      <w:pPr>
        <w:pStyle w:val="ListParagraph"/>
        <w:numPr>
          <w:ilvl w:val="0"/>
          <w:numId w:val="33"/>
        </w:numPr>
        <w:jc w:val="left"/>
      </w:pPr>
      <w:r w:rsidRPr="00112C29">
        <w:t>Stakeholders suggest the PAH treatment approach should be one of ‘disease control’ so that patients can achieve a reasonable quality of life for a period before disease progression and that all patients in WHO FC I should have access to medication, irrespective of the triggering event.</w:t>
      </w:r>
    </w:p>
    <w:p w:rsidR="003E2066" w:rsidRPr="00112C29" w:rsidRDefault="003E2066" w:rsidP="001960CE">
      <w:pPr>
        <w:pStyle w:val="ListParagraph"/>
        <w:numPr>
          <w:ilvl w:val="0"/>
          <w:numId w:val="33"/>
        </w:numPr>
        <w:jc w:val="left"/>
      </w:pPr>
      <w:r w:rsidRPr="00112C29">
        <w:t>Stakeholders are concerned about inequities in patient access to PAH medicines and treatment, and note complexities for patients and clinicians in the management of PAH.</w:t>
      </w:r>
    </w:p>
    <w:p w:rsidR="003E2066" w:rsidRPr="00112C29" w:rsidRDefault="003E2066" w:rsidP="001960CE">
      <w:pPr>
        <w:pStyle w:val="ListParagraph"/>
        <w:numPr>
          <w:ilvl w:val="0"/>
          <w:numId w:val="33"/>
        </w:numPr>
        <w:jc w:val="left"/>
      </w:pPr>
      <w:r w:rsidRPr="00112C29">
        <w:t>Stakeholders suggested a review of PAH in designated Pulmonary Hypertension (PH) centres in Australia and notes variations in clinical expertise are leading to a variation in treatment and outcomes, and that the PHSANZ reported significant differences in mortality between treatment centres. Stakeholders suggested collaboration between centres to improve equity of utilisation of PAH medicines.</w:t>
      </w:r>
    </w:p>
    <w:p w:rsidR="003E2066" w:rsidRDefault="003E2066" w:rsidP="00C21496">
      <w:pPr>
        <w:pStyle w:val="Heading3"/>
        <w:jc w:val="left"/>
      </w:pPr>
      <w:bookmarkStart w:id="38" w:name="_Toc511047268"/>
      <w:bookmarkStart w:id="39" w:name="_Toc513110236"/>
      <w:r>
        <w:t xml:space="preserve">Consumer </w:t>
      </w:r>
      <w:r w:rsidRPr="003E2066">
        <w:t>Views</w:t>
      </w:r>
      <w:bookmarkEnd w:id="38"/>
      <w:bookmarkEnd w:id="39"/>
    </w:p>
    <w:p w:rsidR="003E2066" w:rsidRPr="00112C29" w:rsidRDefault="003E2066" w:rsidP="001960CE">
      <w:pPr>
        <w:pStyle w:val="ListParagraph"/>
        <w:numPr>
          <w:ilvl w:val="0"/>
          <w:numId w:val="33"/>
        </w:numPr>
        <w:jc w:val="left"/>
      </w:pPr>
      <w:r w:rsidRPr="00112C29">
        <w:t>Consumers understood that they can currently access only one PAH medicine at any one time through the PBS. Consumers were also aware of the requirement to provide test results to support their ongoing treatment with PBS medicines.</w:t>
      </w:r>
    </w:p>
    <w:p w:rsidR="003E2066" w:rsidRPr="00112C29" w:rsidRDefault="003E2066" w:rsidP="001960CE">
      <w:pPr>
        <w:pStyle w:val="ListParagraph"/>
        <w:numPr>
          <w:ilvl w:val="0"/>
          <w:numId w:val="33"/>
        </w:numPr>
        <w:jc w:val="left"/>
      </w:pPr>
      <w:r w:rsidRPr="00112C29">
        <w:t>Consumers understood that patients in FC II are not eligible for PAH medicines under the PBS based on advi</w:t>
      </w:r>
      <w:r w:rsidR="00C21496">
        <w:t xml:space="preserve">ce from medical practitioners. </w:t>
      </w:r>
      <w:r w:rsidRPr="00112C29">
        <w:t>There was some confusion over continuing eligibility requirements, with some patients believing that the PBS PAH medicines would no longer be available to them if/when the medicines led to an improvement in their health which saw them rec</w:t>
      </w:r>
      <w:r w:rsidR="00C21496">
        <w:t>lassified from FC III to FC II.</w:t>
      </w:r>
    </w:p>
    <w:p w:rsidR="003E2066" w:rsidRPr="00112C29" w:rsidRDefault="003E2066" w:rsidP="001960CE">
      <w:pPr>
        <w:pStyle w:val="ListParagraph"/>
        <w:numPr>
          <w:ilvl w:val="0"/>
          <w:numId w:val="33"/>
        </w:numPr>
        <w:jc w:val="left"/>
      </w:pPr>
      <w:r w:rsidRPr="00112C29">
        <w:t xml:space="preserve">Consumers noted that there are no specific medicines listed on the PBS for children and expressed a need for specific </w:t>
      </w:r>
      <w:r w:rsidR="00B66044">
        <w:t>medicines</w:t>
      </w:r>
      <w:r w:rsidRPr="00112C29">
        <w:t xml:space="preserve"> and treatment regimens to be available for children.</w:t>
      </w:r>
    </w:p>
    <w:p w:rsidR="003E2066" w:rsidRPr="00112C29" w:rsidRDefault="003E2066" w:rsidP="001960CE">
      <w:pPr>
        <w:pStyle w:val="ListParagraph"/>
        <w:numPr>
          <w:ilvl w:val="0"/>
          <w:numId w:val="33"/>
        </w:numPr>
        <w:spacing w:before="60" w:after="120"/>
        <w:ind w:left="357" w:hanging="357"/>
        <w:jc w:val="left"/>
      </w:pPr>
      <w:r w:rsidRPr="00112C29">
        <w:t>Consumers expressed frustration on the limited number of medicines available on the PBS (currently 8 medicines) in comparison to other countries such as Japan where they understood there to be up to 14 medicines available for PAH.</w:t>
      </w:r>
    </w:p>
    <w:p w:rsidR="003E2066" w:rsidRPr="00112C29" w:rsidRDefault="003E2066" w:rsidP="001960CE">
      <w:pPr>
        <w:pStyle w:val="ListParagraph"/>
        <w:numPr>
          <w:ilvl w:val="0"/>
          <w:numId w:val="33"/>
        </w:numPr>
        <w:spacing w:after="0"/>
        <w:ind w:left="357" w:hanging="357"/>
        <w:jc w:val="left"/>
      </w:pPr>
      <w:r w:rsidRPr="00112C29">
        <w:t>Consumers considered it a priority to get access to:</w:t>
      </w:r>
    </w:p>
    <w:p w:rsidR="003E2066" w:rsidRPr="00112C29" w:rsidRDefault="003E2066" w:rsidP="00C21496">
      <w:pPr>
        <w:pStyle w:val="08Bulletsseriesofsentences"/>
        <w:numPr>
          <w:ilvl w:val="1"/>
          <w:numId w:val="7"/>
        </w:numPr>
        <w:spacing w:before="60"/>
        <w:ind w:left="1077" w:hanging="357"/>
      </w:pPr>
      <w:r w:rsidRPr="00112C29">
        <w:t>multiple PBS-listed medicines at one time;</w:t>
      </w:r>
    </w:p>
    <w:p w:rsidR="003E2066" w:rsidRPr="00112C29" w:rsidRDefault="003E2066" w:rsidP="00C21496">
      <w:pPr>
        <w:pStyle w:val="08Bulletsseriesofsentences"/>
        <w:numPr>
          <w:ilvl w:val="1"/>
          <w:numId w:val="7"/>
        </w:numPr>
        <w:spacing w:before="60"/>
        <w:ind w:left="1077" w:hanging="357"/>
      </w:pPr>
      <w:r w:rsidRPr="00112C29">
        <w:t>medicines for FC II to coincide with early diagnosis; and</w:t>
      </w:r>
    </w:p>
    <w:p w:rsidR="003E2066" w:rsidRPr="00112C29" w:rsidRDefault="003E2066" w:rsidP="00C21496">
      <w:pPr>
        <w:pStyle w:val="08Bulletsseriesofsentences"/>
        <w:numPr>
          <w:ilvl w:val="1"/>
          <w:numId w:val="7"/>
        </w:numPr>
        <w:spacing w:before="60"/>
        <w:ind w:left="1077" w:hanging="357"/>
      </w:pPr>
      <w:proofErr w:type="gramStart"/>
      <w:r w:rsidRPr="00112C29">
        <w:t>a</w:t>
      </w:r>
      <w:proofErr w:type="gramEnd"/>
      <w:r w:rsidRPr="00112C29">
        <w:t xml:space="preserve"> broad range of PAH medicines.</w:t>
      </w:r>
    </w:p>
    <w:p w:rsidR="003E2066" w:rsidRPr="00112C29" w:rsidRDefault="003E2066" w:rsidP="001960CE">
      <w:pPr>
        <w:pStyle w:val="ListParagraph"/>
        <w:numPr>
          <w:ilvl w:val="0"/>
          <w:numId w:val="33"/>
        </w:numPr>
        <w:jc w:val="left"/>
      </w:pPr>
      <w:r w:rsidRPr="00112C29">
        <w:lastRenderedPageBreak/>
        <w:t>Some consumers suggested that earlier treatment and combination therapy led to better health outcomes and questioned why treatment is not available for FC II patients whose health is only going to deteriorate. They also suggested that earlier treatmen</w:t>
      </w:r>
      <w:r w:rsidR="00CD64AB">
        <w:t>t could be more cost-effective.</w:t>
      </w:r>
    </w:p>
    <w:p w:rsidR="003E2066" w:rsidRPr="00112C29" w:rsidRDefault="003E2066" w:rsidP="001960CE">
      <w:pPr>
        <w:pStyle w:val="ListParagraph"/>
        <w:numPr>
          <w:ilvl w:val="0"/>
          <w:numId w:val="33"/>
        </w:numPr>
        <w:jc w:val="left"/>
      </w:pPr>
      <w:r w:rsidRPr="00112C29">
        <w:t>Many consumers were unaware of the international guidelines for the treatment of PAH, but some understood that the guidelines provided information on the classification of PAH and treatments.</w:t>
      </w:r>
    </w:p>
    <w:p w:rsidR="00DE5CA2" w:rsidRDefault="006B7E87" w:rsidP="00C21496">
      <w:pPr>
        <w:pStyle w:val="Heading2"/>
        <w:jc w:val="left"/>
      </w:pPr>
      <w:bookmarkStart w:id="40" w:name="_Toc513110237"/>
      <w:r>
        <w:t xml:space="preserve">Key findings for </w:t>
      </w:r>
      <w:r w:rsidR="00DE5CA2" w:rsidRPr="009F466A">
        <w:t xml:space="preserve">ToR 2: </w:t>
      </w:r>
      <w:r w:rsidR="002C47CE">
        <w:t>U</w:t>
      </w:r>
      <w:r w:rsidR="00DE5CA2" w:rsidRPr="009F466A">
        <w:t>tilisation of PAH medicines</w:t>
      </w:r>
      <w:bookmarkEnd w:id="40"/>
      <w:r w:rsidR="00DE5CA2" w:rsidRPr="009F466A">
        <w:t xml:space="preserve"> </w:t>
      </w:r>
    </w:p>
    <w:p w:rsidR="002C3B52" w:rsidRPr="0073496D" w:rsidRDefault="002C3B52" w:rsidP="00C21496">
      <w:pPr>
        <w:jc w:val="left"/>
      </w:pPr>
      <w:r w:rsidRPr="0073496D">
        <w:t xml:space="preserve">An analysis of the utilisation of PAH medicines was undertaken using prescription data </w:t>
      </w:r>
      <w:r w:rsidR="001658D7">
        <w:t>and</w:t>
      </w:r>
      <w:r>
        <w:t xml:space="preserve"> date of death data </w:t>
      </w:r>
      <w:r w:rsidRPr="0073496D">
        <w:t>from the Department Human Services Supplied Prescriptions Database. Dispensed prescription data for PAH medicines listed on the PBS were exacted for</w:t>
      </w:r>
      <w:r w:rsidRPr="00A17BBF">
        <w:t xml:space="preserve"> </w:t>
      </w:r>
      <w:r w:rsidRPr="0073496D">
        <w:t xml:space="preserve">the period from 1 July 2013 to 31 December 2016 based on the date of dispensing. The data were </w:t>
      </w:r>
      <w:r w:rsidRPr="002C3B52">
        <w:t>extracted in August 2017.</w:t>
      </w:r>
    </w:p>
    <w:p w:rsidR="00FB060F" w:rsidRPr="00CC1D29" w:rsidRDefault="00FB060F" w:rsidP="00C21496">
      <w:pPr>
        <w:pStyle w:val="Heading3"/>
        <w:jc w:val="left"/>
      </w:pPr>
      <w:bookmarkStart w:id="41" w:name="_Toc513110238"/>
      <w:r w:rsidRPr="00CC1D29">
        <w:t xml:space="preserve">PBS/RPBS </w:t>
      </w:r>
      <w:r>
        <w:t>Claims Data</w:t>
      </w:r>
      <w:bookmarkEnd w:id="41"/>
      <w:r>
        <w:t xml:space="preserve"> </w:t>
      </w:r>
    </w:p>
    <w:p w:rsidR="00CD4132" w:rsidRPr="00CD4132" w:rsidRDefault="00CD4132" w:rsidP="001960CE">
      <w:pPr>
        <w:pStyle w:val="ListParagraph"/>
        <w:numPr>
          <w:ilvl w:val="0"/>
          <w:numId w:val="33"/>
        </w:numPr>
        <w:jc w:val="left"/>
      </w:pPr>
      <w:r w:rsidRPr="00CD4132">
        <w:t>The annual number of PAH medicine dispensings increased from 20,454 in 2014 to 23,375 in 2016; the corresponding PBS benefit paid increased from $53.22 million to $58.75 million.</w:t>
      </w:r>
    </w:p>
    <w:p w:rsidR="00CD4132" w:rsidRPr="00CD4132" w:rsidRDefault="00CD4132" w:rsidP="001960CE">
      <w:pPr>
        <w:pStyle w:val="ListParagraph"/>
        <w:numPr>
          <w:ilvl w:val="0"/>
          <w:numId w:val="33"/>
        </w:numPr>
        <w:jc w:val="left"/>
      </w:pPr>
      <w:r w:rsidRPr="00CD4132">
        <w:t>Endothelin receptor antagonists (ERAs) were the most commonly dispensed medicine class, accounting for 77% of all PBS PAH dispensings in 2016.</w:t>
      </w:r>
    </w:p>
    <w:p w:rsidR="00CD4132" w:rsidRPr="00CD4132" w:rsidRDefault="00CD4132" w:rsidP="001960CE">
      <w:pPr>
        <w:pStyle w:val="ListParagraph"/>
        <w:numPr>
          <w:ilvl w:val="0"/>
          <w:numId w:val="33"/>
        </w:numPr>
        <w:jc w:val="left"/>
      </w:pPr>
      <w:r w:rsidRPr="00CD4132">
        <w:t>Bosentan was the most commonly dispensed PBS PAH medicine in 2015 and macitentan was the most commonly dispensed PAH medicine in 2016.</w:t>
      </w:r>
    </w:p>
    <w:p w:rsidR="00CD4132" w:rsidRPr="00CD4132" w:rsidRDefault="00CD4132" w:rsidP="001960CE">
      <w:pPr>
        <w:pStyle w:val="ListParagraph"/>
        <w:numPr>
          <w:ilvl w:val="0"/>
          <w:numId w:val="33"/>
        </w:numPr>
        <w:jc w:val="left"/>
      </w:pPr>
      <w:r w:rsidRPr="00CD4132">
        <w:t>The majority of prevalent patients treated with PAH medicines were female (73% in 2016).</w:t>
      </w:r>
    </w:p>
    <w:p w:rsidR="00CD4132" w:rsidRPr="00CD4132" w:rsidRDefault="00CD4132" w:rsidP="001960CE">
      <w:pPr>
        <w:pStyle w:val="ListParagraph"/>
        <w:numPr>
          <w:ilvl w:val="0"/>
          <w:numId w:val="33"/>
        </w:numPr>
        <w:jc w:val="left"/>
      </w:pPr>
      <w:r w:rsidRPr="00CD4132">
        <w:t>The incident rate for patients newly treated with PAH medicines remained relatively stable across the study period.</w:t>
      </w:r>
    </w:p>
    <w:p w:rsidR="00CD4132" w:rsidRPr="00CD4132" w:rsidRDefault="00CD4132" w:rsidP="001960CE">
      <w:pPr>
        <w:pStyle w:val="ListParagraph"/>
        <w:numPr>
          <w:ilvl w:val="0"/>
          <w:numId w:val="33"/>
        </w:numPr>
        <w:jc w:val="left"/>
      </w:pPr>
      <w:r w:rsidRPr="00CD4132">
        <w:t>The highest treated incidence rate with PAH medicines (2014-2016) was in females 75-84 year old, followed by females 65-74 year old. Incidence drops rapidly after this, with the lowest incidence numbers recorded in the 85+ population.</w:t>
      </w:r>
    </w:p>
    <w:p w:rsidR="00CD4132" w:rsidRPr="00CD4132" w:rsidRDefault="00CD4132" w:rsidP="001960CE">
      <w:pPr>
        <w:pStyle w:val="ListParagraph"/>
        <w:numPr>
          <w:ilvl w:val="0"/>
          <w:numId w:val="33"/>
        </w:numPr>
        <w:jc w:val="left"/>
      </w:pPr>
      <w:r w:rsidRPr="00CD4132">
        <w:t>The majority of incident patients started treatment with 10 mg macitentan (57% of new patients in 2016), followed by 20 mg sildenafil (18.7% of new patients in 2016).</w:t>
      </w:r>
    </w:p>
    <w:p w:rsidR="00CD4132" w:rsidRPr="00CD4132" w:rsidRDefault="00CD4132" w:rsidP="001960CE">
      <w:pPr>
        <w:pStyle w:val="ListParagraph"/>
        <w:numPr>
          <w:ilvl w:val="0"/>
          <w:numId w:val="33"/>
        </w:numPr>
        <w:jc w:val="left"/>
      </w:pPr>
      <w:r w:rsidRPr="00CD4132">
        <w:t>Switching between PBS-listed PAH medicines was not common. Among a total of 3187 treated patients, 418 (13%) switched medicines between 2013 and 2016. Patients most commonly switched from phosphodiesterase-5 (PDE5) inhibitors to ERAs.</w:t>
      </w:r>
    </w:p>
    <w:p w:rsidR="00CD4132" w:rsidRPr="00CD4132" w:rsidRDefault="00CD4132" w:rsidP="001960CE">
      <w:pPr>
        <w:pStyle w:val="ListParagraph"/>
        <w:numPr>
          <w:ilvl w:val="0"/>
          <w:numId w:val="33"/>
        </w:numPr>
        <w:jc w:val="left"/>
      </w:pPr>
      <w:r w:rsidRPr="00CD4132">
        <w:t>Combination treatment with PBS-listed PAH medicines was very rare; using a minimum period of overlapping use of 58 days, only 13 episodes of combination treatment were observed among a total of seven individuals.</w:t>
      </w:r>
    </w:p>
    <w:p w:rsidR="00FB060F" w:rsidRPr="00CC1D29" w:rsidRDefault="00FB060F" w:rsidP="00C21496">
      <w:pPr>
        <w:pStyle w:val="Heading3"/>
        <w:jc w:val="left"/>
        <w:rPr>
          <w:rFonts w:eastAsiaTheme="minorEastAsia"/>
        </w:rPr>
      </w:pPr>
      <w:bookmarkStart w:id="42" w:name="_Toc513110239"/>
      <w:r w:rsidRPr="00CC1D29">
        <w:rPr>
          <w:rFonts w:eastAsiaTheme="minorEastAsia"/>
        </w:rPr>
        <w:lastRenderedPageBreak/>
        <w:t>Pulmonary Hypertension Society of Australia and New Zealand (PHSANZ)</w:t>
      </w:r>
      <w:r>
        <w:rPr>
          <w:rFonts w:eastAsiaTheme="minorEastAsia"/>
        </w:rPr>
        <w:t xml:space="preserve"> Registry</w:t>
      </w:r>
      <w:bookmarkEnd w:id="42"/>
    </w:p>
    <w:p w:rsidR="00CD4132" w:rsidRDefault="00CD4132" w:rsidP="001960CE">
      <w:pPr>
        <w:pStyle w:val="ListParagraph"/>
        <w:numPr>
          <w:ilvl w:val="0"/>
          <w:numId w:val="33"/>
        </w:numPr>
        <w:jc w:val="left"/>
      </w:pPr>
      <w:r>
        <w:t xml:space="preserve">The mean age of all PAH patients </w:t>
      </w:r>
      <w:r w:rsidRPr="00D330E3">
        <w:t xml:space="preserve">at </w:t>
      </w:r>
      <w:r>
        <w:t>time of diagnosis</w:t>
      </w:r>
      <w:r w:rsidRPr="00D330E3">
        <w:t xml:space="preserve"> in</w:t>
      </w:r>
      <w:r>
        <w:t xml:space="preserve"> the PHSANZ cohort (n=1071) was 49.9±20.4 years and 7.8% were aged under18 years.</w:t>
      </w:r>
    </w:p>
    <w:p w:rsidR="00CD4132" w:rsidRDefault="00CD4132" w:rsidP="001960CE">
      <w:pPr>
        <w:pStyle w:val="ListParagraph"/>
        <w:numPr>
          <w:ilvl w:val="0"/>
          <w:numId w:val="33"/>
        </w:numPr>
        <w:jc w:val="left"/>
      </w:pPr>
      <w:r>
        <w:t>More than two thirds of patients were female.</w:t>
      </w:r>
    </w:p>
    <w:p w:rsidR="00CD4132" w:rsidRDefault="00CD4132" w:rsidP="001960CE">
      <w:pPr>
        <w:pStyle w:val="ListParagraph"/>
        <w:numPr>
          <w:ilvl w:val="0"/>
          <w:numId w:val="33"/>
        </w:numPr>
        <w:jc w:val="left"/>
      </w:pPr>
      <w:r>
        <w:t>Overall 49.8%, 39.8% and 10.4% of patients were prescribed monotherapy, dual therapy and triple therapy respectively.</w:t>
      </w:r>
    </w:p>
    <w:p w:rsidR="00CD4132" w:rsidRDefault="00CD4132" w:rsidP="001960CE">
      <w:pPr>
        <w:pStyle w:val="ListParagraph"/>
        <w:numPr>
          <w:ilvl w:val="0"/>
          <w:numId w:val="33"/>
        </w:numPr>
        <w:jc w:val="left"/>
      </w:pPr>
      <w:r>
        <w:t>ERAs were the most commonly prescribed medicine class amongst monotherapy patients (76.55%).</w:t>
      </w:r>
    </w:p>
    <w:p w:rsidR="00CD4132" w:rsidRDefault="00CD4132" w:rsidP="001960CE">
      <w:pPr>
        <w:pStyle w:val="ListParagraph"/>
        <w:numPr>
          <w:ilvl w:val="0"/>
          <w:numId w:val="33"/>
        </w:numPr>
        <w:jc w:val="left"/>
      </w:pPr>
      <w:r>
        <w:t>ERA + PDE5 inhibitors accounted for 91% of all dual therapy combinations, with the addition of a prostacyclin analogue (PGI</w:t>
      </w:r>
      <w:r w:rsidRPr="00CD4132">
        <w:t>2</w:t>
      </w:r>
      <w:r>
        <w:t>) the most common regimen for triple therapy.</w:t>
      </w:r>
    </w:p>
    <w:p w:rsidR="00CD4132" w:rsidRDefault="00CD4132" w:rsidP="001960CE">
      <w:pPr>
        <w:pStyle w:val="ListParagraph"/>
        <w:numPr>
          <w:ilvl w:val="0"/>
          <w:numId w:val="33"/>
        </w:numPr>
        <w:jc w:val="left"/>
      </w:pPr>
      <w:r>
        <w:t>PHSANZ registry data indicates that approximately 20% of patients in the PAH cohort (those alive and receiving medication in 2017) were diagnosed or presented to PAH centres with symptoms classified in WHO FC II. The majority (67%) of patients entered the cohort with WHO FC III symptoms and 6% with WHO FC IV symptoms. Information on WHO FC at time of cohort entry was not available in 6.8% of patients.</w:t>
      </w:r>
    </w:p>
    <w:p w:rsidR="00FB060F" w:rsidRDefault="00FB060F" w:rsidP="00C21496">
      <w:pPr>
        <w:pStyle w:val="Heading3"/>
        <w:jc w:val="left"/>
        <w:rPr>
          <w:rFonts w:eastAsiaTheme="minorEastAsia"/>
        </w:rPr>
      </w:pPr>
      <w:bookmarkStart w:id="43" w:name="_Toc513110240"/>
      <w:r w:rsidRPr="00CC1D29">
        <w:rPr>
          <w:rFonts w:eastAsiaTheme="minorEastAsia"/>
        </w:rPr>
        <w:t>Australian Scleroderma Interest Group</w:t>
      </w:r>
      <w:r>
        <w:rPr>
          <w:rFonts w:eastAsiaTheme="minorEastAsia"/>
        </w:rPr>
        <w:t xml:space="preserve"> Registry</w:t>
      </w:r>
      <w:r w:rsidRPr="00CC1D29">
        <w:rPr>
          <w:rFonts w:eastAsiaTheme="minorEastAsia"/>
        </w:rPr>
        <w:t xml:space="preserve"> (ASIG)</w:t>
      </w:r>
      <w:bookmarkEnd w:id="43"/>
    </w:p>
    <w:p w:rsidR="00CD4132" w:rsidRPr="004C3845" w:rsidRDefault="00CD4132" w:rsidP="001960CE">
      <w:pPr>
        <w:pStyle w:val="ListParagraph"/>
        <w:numPr>
          <w:ilvl w:val="0"/>
          <w:numId w:val="33"/>
        </w:numPr>
        <w:jc w:val="left"/>
      </w:pPr>
      <w:r>
        <w:t xml:space="preserve">The mean age of all patients with connective tissue disease associated PAH (CTD-PAH) in </w:t>
      </w:r>
      <w:r w:rsidRPr="004C3845">
        <w:t xml:space="preserve">the </w:t>
      </w:r>
      <w:r>
        <w:t>Australian Scleroderma Cohort Study (ASCS)</w:t>
      </w:r>
      <w:r w:rsidRPr="004C3845">
        <w:t xml:space="preserve"> </w:t>
      </w:r>
      <w:r w:rsidRPr="003C6C7B">
        <w:t xml:space="preserve">cohort </w:t>
      </w:r>
      <w:r>
        <w:t xml:space="preserve">(n=104) at time of last assessment (index visit) was </w:t>
      </w:r>
      <w:r w:rsidRPr="00146D94">
        <w:t>67 years</w:t>
      </w:r>
      <w:r>
        <w:t xml:space="preserve"> and 82% of patients </w:t>
      </w:r>
      <w:r w:rsidRPr="003C6C7B">
        <w:t>w</w:t>
      </w:r>
      <w:r>
        <w:t>ere</w:t>
      </w:r>
      <w:r w:rsidRPr="004C3845">
        <w:t xml:space="preserve"> female.</w:t>
      </w:r>
    </w:p>
    <w:p w:rsidR="00CD4132" w:rsidRDefault="00CD4132" w:rsidP="001960CE">
      <w:pPr>
        <w:pStyle w:val="ListParagraph"/>
        <w:numPr>
          <w:ilvl w:val="0"/>
          <w:numId w:val="33"/>
        </w:numPr>
        <w:jc w:val="left"/>
      </w:pPr>
      <w:r>
        <w:t>Monotherapy, dual therapy and triple therapy was used by 53%, 41% and 6% of patients respectively.</w:t>
      </w:r>
    </w:p>
    <w:p w:rsidR="00CD4132" w:rsidRDefault="00CD4132" w:rsidP="001960CE">
      <w:pPr>
        <w:pStyle w:val="ListParagraph"/>
        <w:numPr>
          <w:ilvl w:val="0"/>
          <w:numId w:val="33"/>
        </w:numPr>
        <w:jc w:val="left"/>
      </w:pPr>
      <w:r>
        <w:t>Macitentan was the most commonly used ERA, used by 55% (57/104) of patients included in the study.</w:t>
      </w:r>
    </w:p>
    <w:p w:rsidR="00FB060F" w:rsidRPr="004C3845" w:rsidRDefault="00FB060F" w:rsidP="00C21496">
      <w:pPr>
        <w:pStyle w:val="Heading3"/>
        <w:jc w:val="left"/>
      </w:pPr>
      <w:bookmarkStart w:id="44" w:name="_Toc513110241"/>
      <w:r w:rsidRPr="009F0C29">
        <w:t>Overall conclusions</w:t>
      </w:r>
      <w:bookmarkEnd w:id="44"/>
    </w:p>
    <w:p w:rsidR="00CD4132" w:rsidRDefault="00CD4132" w:rsidP="001960CE">
      <w:pPr>
        <w:pStyle w:val="ListParagraph"/>
        <w:numPr>
          <w:ilvl w:val="0"/>
          <w:numId w:val="33"/>
        </w:numPr>
        <w:jc w:val="left"/>
      </w:pPr>
      <w:bookmarkStart w:id="45" w:name="_Toc511114864"/>
      <w:bookmarkStart w:id="46" w:name="_Toc511119524"/>
      <w:bookmarkStart w:id="47" w:name="_Toc511144823"/>
      <w:r>
        <w:t>Across all three datasets analysed, ERA’s were the most commonly used class of PAH medicines followed by PDE5 inhibitors.</w:t>
      </w:r>
    </w:p>
    <w:p w:rsidR="00CD4132" w:rsidRDefault="00CD4132" w:rsidP="001960CE">
      <w:pPr>
        <w:pStyle w:val="ListParagraph"/>
        <w:numPr>
          <w:ilvl w:val="0"/>
          <w:numId w:val="33"/>
        </w:numPr>
        <w:jc w:val="left"/>
      </w:pPr>
      <w:r>
        <w:t>In both registries approximately 50% of patients were prescribed monotherapy, 40% dual therapy and 10% triple therapy.</w:t>
      </w:r>
      <w:r w:rsidRPr="008619CE">
        <w:t xml:space="preserve"> </w:t>
      </w:r>
    </w:p>
    <w:p w:rsidR="00CD4132" w:rsidRDefault="00CD4132" w:rsidP="001960CE">
      <w:pPr>
        <w:pStyle w:val="ListParagraph"/>
        <w:numPr>
          <w:ilvl w:val="0"/>
          <w:numId w:val="33"/>
        </w:numPr>
        <w:jc w:val="left"/>
      </w:pPr>
      <w:r>
        <w:t>The utilisation of PBS medicines cannot be determined according to WHO FC and the both registry data analyses did not provide specific information on the extent of patients being initiated to PAH therapy in FC II.</w:t>
      </w:r>
    </w:p>
    <w:p w:rsidR="00CD4132" w:rsidRDefault="00CD4132" w:rsidP="001960CE">
      <w:pPr>
        <w:pStyle w:val="ListParagraph"/>
        <w:numPr>
          <w:ilvl w:val="0"/>
          <w:numId w:val="33"/>
        </w:numPr>
        <w:jc w:val="left"/>
      </w:pPr>
      <w:r>
        <w:t>ERA was the most commonly prescribed monotherapy, ERA plus PDE5 inhibitor was the most commonly prescribed dual therapy combination and ERA plus PDE5 inhibitor plus PGI</w:t>
      </w:r>
      <w:r w:rsidRPr="00CD4132">
        <w:t xml:space="preserve">2 </w:t>
      </w:r>
      <w:r>
        <w:t>was the most commonly prescribed form of triple therapy.</w:t>
      </w:r>
    </w:p>
    <w:p w:rsidR="00FB060F" w:rsidRPr="00E83BDB" w:rsidRDefault="00FB060F" w:rsidP="00C21496">
      <w:pPr>
        <w:pStyle w:val="Heading3"/>
        <w:jc w:val="left"/>
        <w:rPr>
          <w:rFonts w:eastAsia="Times New Roman"/>
        </w:rPr>
      </w:pPr>
      <w:bookmarkStart w:id="48" w:name="_Toc513110242"/>
      <w:r w:rsidRPr="00E83BDB">
        <w:rPr>
          <w:rFonts w:eastAsia="Times New Roman"/>
        </w:rPr>
        <w:lastRenderedPageBreak/>
        <w:t>Stakeholder views</w:t>
      </w:r>
      <w:bookmarkEnd w:id="45"/>
      <w:bookmarkEnd w:id="46"/>
      <w:bookmarkEnd w:id="47"/>
      <w:bookmarkEnd w:id="48"/>
    </w:p>
    <w:p w:rsidR="00FB060F" w:rsidRDefault="00FB060F" w:rsidP="001960CE">
      <w:pPr>
        <w:pStyle w:val="ListParagraph"/>
        <w:numPr>
          <w:ilvl w:val="0"/>
          <w:numId w:val="33"/>
        </w:numPr>
        <w:jc w:val="left"/>
      </w:pPr>
      <w:r>
        <w:t>Stakeholders suggested methods for ensuring efficient and effective data capture of PAH medicine utilisation and outcomes, noting PBS prescriptions alone do not reflect the full utilisation of PAH medicines, such as including data sources available through the PHSANZ, which includes a national PH registry.</w:t>
      </w:r>
    </w:p>
    <w:p w:rsidR="00FB060F" w:rsidRPr="00FB060F" w:rsidRDefault="00FB060F" w:rsidP="001960CE">
      <w:pPr>
        <w:pStyle w:val="ListParagraph"/>
        <w:numPr>
          <w:ilvl w:val="0"/>
          <w:numId w:val="33"/>
        </w:numPr>
        <w:jc w:val="left"/>
      </w:pPr>
      <w:r>
        <w:t>Stakeholders recommend ongoing post-market surveillance / registry analysis to support evidence-based decision making for PAH.</w:t>
      </w:r>
    </w:p>
    <w:p w:rsidR="00FB060F" w:rsidRDefault="00CD4132" w:rsidP="001960CE">
      <w:pPr>
        <w:pStyle w:val="ListParagraph"/>
        <w:numPr>
          <w:ilvl w:val="0"/>
          <w:numId w:val="33"/>
        </w:numPr>
        <w:jc w:val="left"/>
      </w:pPr>
      <w:r>
        <w:t>Some patients and prescribers</w:t>
      </w:r>
      <w:r w:rsidR="00FB060F">
        <w:t xml:space="preserve"> noted the considerable variation in decision making across Drug Therapeutic Committees, making access to PAH medicines potentially inequitable, and dependant on the patients’ location and institution for treatment.</w:t>
      </w:r>
    </w:p>
    <w:p w:rsidR="00FB060F" w:rsidRDefault="00FB060F" w:rsidP="001960CE">
      <w:pPr>
        <w:pStyle w:val="ListParagraph"/>
        <w:numPr>
          <w:ilvl w:val="0"/>
          <w:numId w:val="33"/>
        </w:numPr>
        <w:jc w:val="left"/>
      </w:pPr>
      <w:r>
        <w:t xml:space="preserve">Stakeholders noted the review should explore what constitutes a designated pulmonary hypertension (PH) treatment centre and collaboration between centres to improve equity of utilisation of PAH medicines. Stakeholders pointed out that variations in clinical expertise are leading to variation in treatment and outcomes, including reported differences in mortality between designated PH treatment centres. </w:t>
      </w:r>
    </w:p>
    <w:p w:rsidR="00CD4132" w:rsidRDefault="00CD4132" w:rsidP="001960CE">
      <w:pPr>
        <w:pStyle w:val="ListParagraph"/>
        <w:numPr>
          <w:ilvl w:val="0"/>
          <w:numId w:val="33"/>
        </w:numPr>
        <w:jc w:val="left"/>
      </w:pPr>
      <w:r>
        <w:t>Riociguat which was recently PBS listed, is not formulary listed in any of the jurisdictions which responded to the request by the Council of Australian Therapeutic Advisory Groups (CATAG), nor have there been individual patient requests in those jurisdictions.</w:t>
      </w:r>
    </w:p>
    <w:p w:rsidR="00CD4132" w:rsidRDefault="00CD4132" w:rsidP="001960CE">
      <w:pPr>
        <w:pStyle w:val="ListParagraph"/>
        <w:numPr>
          <w:ilvl w:val="0"/>
          <w:numId w:val="33"/>
        </w:numPr>
        <w:jc w:val="left"/>
      </w:pPr>
      <w:r>
        <w:t>Patients on combination therapies that are sourced outside the PBS note the emotional, psychological and financial stresses which patients and families may feel due to the expense of treatments and concerns about medicine access.</w:t>
      </w:r>
    </w:p>
    <w:p w:rsidR="000A3B71" w:rsidRDefault="000A3B71" w:rsidP="001960CE">
      <w:pPr>
        <w:pStyle w:val="ListParagraph"/>
        <w:numPr>
          <w:ilvl w:val="0"/>
          <w:numId w:val="33"/>
        </w:numPr>
        <w:jc w:val="left"/>
      </w:pPr>
      <w:r>
        <w:t>PBS data on riociguat will be uninformative given that it was PBS listed in early 2017.</w:t>
      </w:r>
    </w:p>
    <w:p w:rsidR="00FB060F" w:rsidRPr="00E83BDB" w:rsidRDefault="00FB060F" w:rsidP="00C21496">
      <w:pPr>
        <w:pStyle w:val="Heading3"/>
        <w:jc w:val="left"/>
        <w:rPr>
          <w:rFonts w:eastAsia="Times New Roman"/>
        </w:rPr>
      </w:pPr>
      <w:bookmarkStart w:id="49" w:name="_Toc511114865"/>
      <w:bookmarkStart w:id="50" w:name="_Toc511119525"/>
      <w:bookmarkStart w:id="51" w:name="_Toc511144824"/>
      <w:bookmarkStart w:id="52" w:name="_Toc513110243"/>
      <w:r w:rsidRPr="00E83BDB">
        <w:rPr>
          <w:rFonts w:eastAsia="Times New Roman"/>
        </w:rPr>
        <w:t>Consumer views</w:t>
      </w:r>
      <w:bookmarkEnd w:id="49"/>
      <w:bookmarkEnd w:id="50"/>
      <w:bookmarkEnd w:id="51"/>
      <w:bookmarkEnd w:id="52"/>
    </w:p>
    <w:p w:rsidR="00FB060F" w:rsidRPr="00E83BDB" w:rsidRDefault="00FB060F" w:rsidP="001960CE">
      <w:pPr>
        <w:pStyle w:val="ListParagraph"/>
        <w:numPr>
          <w:ilvl w:val="0"/>
          <w:numId w:val="33"/>
        </w:numPr>
        <w:jc w:val="left"/>
      </w:pPr>
      <w:r w:rsidRPr="00E83BDB">
        <w:t xml:space="preserve">The majority of consumers at the Consumer Forum advised that they were on dual or triple therapy. </w:t>
      </w:r>
    </w:p>
    <w:p w:rsidR="00FB060F" w:rsidRPr="00E83BDB" w:rsidRDefault="00FB060F" w:rsidP="001960CE">
      <w:pPr>
        <w:pStyle w:val="ListParagraph"/>
        <w:numPr>
          <w:ilvl w:val="0"/>
          <w:numId w:val="33"/>
        </w:numPr>
        <w:jc w:val="left"/>
      </w:pPr>
      <w:r w:rsidRPr="00E83BDB">
        <w:t>Consumers noted</w:t>
      </w:r>
      <w:r>
        <w:t xml:space="preserve"> that</w:t>
      </w:r>
      <w:r w:rsidRPr="00E83BDB">
        <w:t xml:space="preserve"> they accessed medicines through a range (and combination) of avenues, including through the PBS, hospitals, drug trials, compassionate access programs or private funding (often sildenafil).  </w:t>
      </w:r>
    </w:p>
    <w:p w:rsidR="00FB060F" w:rsidRPr="00E83BDB" w:rsidRDefault="00FB060F" w:rsidP="001960CE">
      <w:pPr>
        <w:pStyle w:val="ListParagraph"/>
        <w:numPr>
          <w:ilvl w:val="0"/>
          <w:numId w:val="33"/>
        </w:numPr>
        <w:jc w:val="left"/>
      </w:pPr>
      <w:r w:rsidRPr="00E83BDB">
        <w:t>Consumers noted the financial burden for themselves, family and friends including cost of PBS co-payments, cos</w:t>
      </w:r>
      <w:r>
        <w:t>t of privately funded medicines and</w:t>
      </w:r>
      <w:r w:rsidRPr="00E83BDB">
        <w:t xml:space="preserve"> incidental health care items and tests. This is exacerbated by reduced income </w:t>
      </w:r>
      <w:r>
        <w:t>due to</w:t>
      </w:r>
      <w:r w:rsidRPr="00E83BDB">
        <w:t xml:space="preserve"> an inability to work.</w:t>
      </w:r>
    </w:p>
    <w:p w:rsidR="00DE5CA2" w:rsidRPr="009F466A" w:rsidRDefault="002C3B52" w:rsidP="00C21496">
      <w:pPr>
        <w:pStyle w:val="Heading2"/>
        <w:jc w:val="left"/>
      </w:pPr>
      <w:bookmarkStart w:id="53" w:name="_Toc513110244"/>
      <w:r>
        <w:t xml:space="preserve">Key findings for </w:t>
      </w:r>
      <w:r w:rsidR="00DE5CA2" w:rsidRPr="009F466A">
        <w:t xml:space="preserve">ToR 3: </w:t>
      </w:r>
      <w:r w:rsidR="00623B3D" w:rsidRPr="009F466A">
        <w:t>C</w:t>
      </w:r>
      <w:r w:rsidR="00DE5CA2" w:rsidRPr="009F466A">
        <w:t xml:space="preserve">linical outcomes relevant to patients </w:t>
      </w:r>
      <w:r w:rsidR="00DA60DB" w:rsidRPr="009F466A">
        <w:t>and</w:t>
      </w:r>
      <w:r w:rsidR="00623B3D" w:rsidRPr="009F466A">
        <w:t xml:space="preserve"> </w:t>
      </w:r>
      <w:r w:rsidR="00DE5CA2" w:rsidRPr="009F466A">
        <w:t>evidence</w:t>
      </w:r>
      <w:r w:rsidR="00D23B93" w:rsidRPr="009F466A">
        <w:t xml:space="preserve"> considered by PBAC</w:t>
      </w:r>
      <w:bookmarkEnd w:id="53"/>
    </w:p>
    <w:p w:rsidR="00025F4E" w:rsidRPr="00FB060F" w:rsidRDefault="00025F4E" w:rsidP="001960CE">
      <w:pPr>
        <w:pStyle w:val="ListParagraph"/>
        <w:numPr>
          <w:ilvl w:val="0"/>
          <w:numId w:val="33"/>
        </w:numPr>
        <w:jc w:val="left"/>
      </w:pPr>
      <w:r w:rsidRPr="00FB060F">
        <w:t>Historically, the Pharmaceutical Benefits Advisory Committee (PBAC) has primarily considered studies that present Six Minute Walk Test (6MWT) results as the main surrogate outcome when assessing PAH (pulmonary arterial hypertension) medicines.</w:t>
      </w:r>
    </w:p>
    <w:p w:rsidR="00A04228" w:rsidRPr="00FB060F" w:rsidRDefault="00A04228" w:rsidP="001960CE">
      <w:pPr>
        <w:pStyle w:val="ListParagraph"/>
        <w:numPr>
          <w:ilvl w:val="0"/>
          <w:numId w:val="33"/>
        </w:numPr>
        <w:jc w:val="left"/>
      </w:pPr>
      <w:r w:rsidRPr="00FB060F">
        <w:lastRenderedPageBreak/>
        <w:t>Clinical trials for PAH medicines may also measure a range of other clinical outcomes such as changes in WHO FC (functional class), clinical worsening, haemodynamic parameters, adverse events and survival.</w:t>
      </w:r>
    </w:p>
    <w:p w:rsidR="00A04228" w:rsidRPr="00FB060F" w:rsidRDefault="00A04228" w:rsidP="001960CE">
      <w:pPr>
        <w:pStyle w:val="ListParagraph"/>
        <w:numPr>
          <w:ilvl w:val="0"/>
          <w:numId w:val="33"/>
        </w:numPr>
        <w:jc w:val="left"/>
      </w:pPr>
      <w:r w:rsidRPr="00FB060F">
        <w:t xml:space="preserve">Treatment goals for PAH patients have evolved over time to become more patient centred and can include attaining an improved FC status, an improved six minute walk distance (6MWD) and exercise capacity, and haemodynamic parameter improvements. </w:t>
      </w:r>
    </w:p>
    <w:p w:rsidR="00A04228" w:rsidRPr="00FB060F" w:rsidRDefault="00A04228" w:rsidP="001960CE">
      <w:pPr>
        <w:pStyle w:val="ListParagraph"/>
        <w:numPr>
          <w:ilvl w:val="0"/>
          <w:numId w:val="33"/>
        </w:numPr>
        <w:jc w:val="left"/>
      </w:pPr>
      <w:r w:rsidRPr="00FB060F">
        <w:t xml:space="preserve">Patient relevant outcomes are reflected only in part in the evidence which the PBAC has considered in relation to submissions for PAH medicines. The key clinical outcome of relevance and significance to PAH patients is their quality of life, as reflected in their ability to function and complete everyday activities and live as normal a life as possible. </w:t>
      </w:r>
    </w:p>
    <w:p w:rsidR="00A04228" w:rsidRPr="00FB060F" w:rsidRDefault="00A04228" w:rsidP="001960CE">
      <w:pPr>
        <w:pStyle w:val="ListParagraph"/>
        <w:numPr>
          <w:ilvl w:val="0"/>
          <w:numId w:val="33"/>
        </w:numPr>
        <w:jc w:val="left"/>
      </w:pPr>
      <w:r w:rsidRPr="00FB060F">
        <w:t>Patients do relate improvement in their 6MWD results with their treatment efficacy but note that the results are subjective and not fully reflective of their health status.</w:t>
      </w:r>
    </w:p>
    <w:p w:rsidR="00A04228" w:rsidRPr="00FB060F" w:rsidRDefault="00A04228" w:rsidP="001960CE">
      <w:pPr>
        <w:pStyle w:val="ListParagraph"/>
        <w:numPr>
          <w:ilvl w:val="0"/>
          <w:numId w:val="33"/>
        </w:numPr>
        <w:jc w:val="left"/>
      </w:pPr>
      <w:r w:rsidRPr="00FB060F">
        <w:t>Patients considered that other measures, including quality of life assessments, assessments of everyday functional ability, right heart catheterisation (RHC) measurement, echo results, and use of supplemental oxygen could also be considered as clinically relevant outcomes.</w:t>
      </w:r>
    </w:p>
    <w:p w:rsidR="00A04228" w:rsidRPr="00FB060F" w:rsidRDefault="00A04228" w:rsidP="001960CE">
      <w:pPr>
        <w:pStyle w:val="ListParagraph"/>
        <w:numPr>
          <w:ilvl w:val="0"/>
          <w:numId w:val="33"/>
        </w:numPr>
        <w:jc w:val="left"/>
      </w:pPr>
      <w:r w:rsidRPr="00FB060F">
        <w:t>The use of composite outcomes to assess the clinical and cost-effectiveness of PAH medicine is increasing in clinical trials</w:t>
      </w:r>
      <w:r w:rsidR="001658D7">
        <w:t>.</w:t>
      </w:r>
    </w:p>
    <w:p w:rsidR="00DE5CA2" w:rsidRPr="009F466A" w:rsidRDefault="00DE5CA2" w:rsidP="00C21496">
      <w:pPr>
        <w:pStyle w:val="Heading3"/>
        <w:jc w:val="left"/>
      </w:pPr>
      <w:bookmarkStart w:id="54" w:name="_Toc513110245"/>
      <w:r w:rsidRPr="009F466A">
        <w:t>Stakeholder views</w:t>
      </w:r>
      <w:bookmarkEnd w:id="54"/>
    </w:p>
    <w:p w:rsidR="00FC36B2" w:rsidRPr="00FB060F" w:rsidRDefault="00DA32F8" w:rsidP="001960CE">
      <w:pPr>
        <w:pStyle w:val="ListParagraph"/>
        <w:numPr>
          <w:ilvl w:val="0"/>
          <w:numId w:val="33"/>
        </w:numPr>
        <w:jc w:val="left"/>
      </w:pPr>
      <w:r w:rsidRPr="00FB060F">
        <w:t>The Reference Group has noted the usefulness of health related quality of life measures (HRQOL) and their potential value in capturing benefits associated with medicines for PAH. HRQOL measures could include the EQ5, SF36 and the PAH specific Cambridge Pulmonary Hypertension Outcome Review (CAMPHOR).</w:t>
      </w:r>
    </w:p>
    <w:p w:rsidR="00A714A0" w:rsidRDefault="00A714A0" w:rsidP="001960CE">
      <w:pPr>
        <w:pStyle w:val="ListParagraph"/>
        <w:numPr>
          <w:ilvl w:val="0"/>
          <w:numId w:val="33"/>
        </w:numPr>
        <w:jc w:val="left"/>
      </w:pPr>
      <w:r w:rsidRPr="00FB060F">
        <w:t>The Pulmonary Hypertension Association Australia (PHAA) notes that most studies have assessed clinical outcomes through changes in exercise capacity, however, PHAA members also consider how patients feel, daily function, prevention of hospitalisation, and survival as patient relevant outcomes.</w:t>
      </w:r>
    </w:p>
    <w:p w:rsidR="00070850" w:rsidRDefault="00070850" w:rsidP="00C21496">
      <w:pPr>
        <w:jc w:val="left"/>
        <w:rPr>
          <w:rFonts w:eastAsiaTheme="majorEastAsia" w:cstheme="majorBidi"/>
          <w:b/>
          <w:bCs/>
          <w:color w:val="4F81BD" w:themeColor="accent1"/>
          <w:sz w:val="32"/>
          <w:szCs w:val="26"/>
        </w:rPr>
      </w:pPr>
      <w:r>
        <w:br w:type="page"/>
      </w:r>
    </w:p>
    <w:p w:rsidR="00DE5CA2" w:rsidRPr="009F466A" w:rsidRDefault="002C3B52" w:rsidP="00C21496">
      <w:pPr>
        <w:pStyle w:val="Heading2"/>
        <w:jc w:val="left"/>
      </w:pPr>
      <w:bookmarkStart w:id="55" w:name="_Toc513110246"/>
      <w:r>
        <w:lastRenderedPageBreak/>
        <w:t xml:space="preserve">Key findings for </w:t>
      </w:r>
      <w:r w:rsidR="00DE5CA2" w:rsidRPr="009F466A">
        <w:t xml:space="preserve">ToR 4: </w:t>
      </w:r>
      <w:r w:rsidR="00DA60DB" w:rsidRPr="009F466A">
        <w:t>Review of</w:t>
      </w:r>
      <w:r w:rsidR="00DE5CA2" w:rsidRPr="009F466A">
        <w:t xml:space="preserve"> effectiveness </w:t>
      </w:r>
      <w:r w:rsidR="00DA60DB" w:rsidRPr="009F466A">
        <w:t>and safety</w:t>
      </w:r>
      <w:bookmarkEnd w:id="55"/>
      <w:r w:rsidR="00DE5CA2" w:rsidRPr="009F466A">
        <w:t xml:space="preserve"> </w:t>
      </w:r>
    </w:p>
    <w:p w:rsidR="00532B79" w:rsidRPr="00D228A6" w:rsidRDefault="00532B79" w:rsidP="00C21496">
      <w:pPr>
        <w:pStyle w:val="ToRText"/>
        <w:shd w:val="clear" w:color="auto" w:fill="F2F2F2" w:themeFill="background1" w:themeFillShade="F2"/>
        <w:rPr>
          <w:b w:val="0"/>
          <w:color w:val="auto"/>
        </w:rPr>
      </w:pPr>
      <w:bookmarkStart w:id="56" w:name="_Toc508396548"/>
      <w:bookmarkStart w:id="57" w:name="_Toc486853624"/>
      <w:r w:rsidRPr="00532B79">
        <w:rPr>
          <w:b w:val="0"/>
          <w:color w:val="auto"/>
          <w:shd w:val="clear" w:color="auto" w:fill="F2F2F2" w:themeFill="background1" w:themeFillShade="F2"/>
        </w:rPr>
        <w:t>Q1.</w:t>
      </w:r>
      <w:r w:rsidRPr="00532B79">
        <w:rPr>
          <w:b w:val="0"/>
          <w:color w:val="auto"/>
          <w:shd w:val="clear" w:color="auto" w:fill="F2F2F2" w:themeFill="background1" w:themeFillShade="F2"/>
        </w:rPr>
        <w:tab/>
        <w:t>What is the effectiveness and safety of monotherapy with a PAH medicine, compared to placebo/no treatment or another PAH medicine listed on the PBS, in patients with WHO FC I or II PAH?</w:t>
      </w:r>
    </w:p>
    <w:p w:rsidR="00321DBE" w:rsidRPr="009F466A" w:rsidRDefault="00321DBE" w:rsidP="00C21496">
      <w:pPr>
        <w:pStyle w:val="Heading3"/>
        <w:jc w:val="left"/>
      </w:pPr>
      <w:bookmarkStart w:id="58" w:name="_Toc513110247"/>
      <w:r w:rsidRPr="009F466A">
        <w:t>Effectiveness and safety of monotherapy in WHO FC I or II PAH</w:t>
      </w:r>
      <w:bookmarkEnd w:id="56"/>
      <w:bookmarkEnd w:id="58"/>
    </w:p>
    <w:p w:rsidR="00321DBE" w:rsidRPr="009F466A" w:rsidRDefault="00321DBE" w:rsidP="00C21496">
      <w:pPr>
        <w:pStyle w:val="Heading4"/>
      </w:pPr>
      <w:r w:rsidRPr="009F466A">
        <w:t>ERA versus placebo</w:t>
      </w:r>
    </w:p>
    <w:p w:rsidR="004C6955" w:rsidRPr="00C10642" w:rsidRDefault="004C6955" w:rsidP="00C21496">
      <w:pPr>
        <w:pStyle w:val="Heading5"/>
        <w:keepLines w:val="0"/>
        <w:numPr>
          <w:ilvl w:val="0"/>
          <w:numId w:val="0"/>
        </w:numPr>
        <w:spacing w:before="240"/>
        <w:jc w:val="left"/>
        <w:rPr>
          <w:color w:val="auto"/>
          <w:u w:val="single"/>
        </w:rPr>
      </w:pPr>
      <w:r w:rsidRPr="00C10642">
        <w:rPr>
          <w:color w:val="auto"/>
          <w:u w:val="single"/>
        </w:rPr>
        <w:t>Clinical effectiveness</w:t>
      </w:r>
    </w:p>
    <w:p w:rsidR="004C6955" w:rsidRPr="00C10642" w:rsidRDefault="004C6955" w:rsidP="00C21496">
      <w:pPr>
        <w:jc w:val="left"/>
      </w:pPr>
      <w:r w:rsidRPr="00C10642">
        <w:t>Four RCTs reported on the effectiveness of an ERA in treating PAH compared with placebo in patients with WHO FC I/II PAH:</w:t>
      </w:r>
    </w:p>
    <w:p w:rsidR="004C6955" w:rsidRPr="00C10642" w:rsidRDefault="004C6955" w:rsidP="00C21496">
      <w:pPr>
        <w:pStyle w:val="Bullettext"/>
        <w:ind w:left="720"/>
      </w:pPr>
      <w:r w:rsidRPr="00C10642">
        <w:t>ARIES-1&amp;2 used ambrisentan</w:t>
      </w:r>
    </w:p>
    <w:p w:rsidR="004C6955" w:rsidRPr="00C10642" w:rsidRDefault="004C6955" w:rsidP="00C21496">
      <w:pPr>
        <w:pStyle w:val="Bullettext"/>
        <w:ind w:left="720"/>
      </w:pPr>
      <w:r w:rsidRPr="00C10642">
        <w:t>EARLY used bosentan</w:t>
      </w:r>
    </w:p>
    <w:p w:rsidR="004C6955" w:rsidRPr="00C10642" w:rsidRDefault="004C6955" w:rsidP="00C21496">
      <w:pPr>
        <w:pStyle w:val="Bullettext"/>
        <w:ind w:left="720"/>
      </w:pPr>
      <w:r w:rsidRPr="00C10642">
        <w:t>SERAPHIN used macitentan.</w:t>
      </w:r>
    </w:p>
    <w:p w:rsidR="004C6955" w:rsidRPr="00C10642" w:rsidRDefault="004C6955" w:rsidP="00C21496">
      <w:pPr>
        <w:jc w:val="left"/>
      </w:pPr>
      <w:r w:rsidRPr="00C10642">
        <w:t xml:space="preserve">The evidence provided by these trials is summarised in </w:t>
      </w:r>
      <w:r w:rsidR="00CC79E1">
        <w:t>Table ES.</w:t>
      </w:r>
      <w:r w:rsidR="00CC79E1">
        <w:rPr>
          <w:noProof/>
        </w:rPr>
        <w:t>5</w:t>
      </w:r>
      <w:r w:rsidRPr="00C10642">
        <w:t>.</w:t>
      </w:r>
    </w:p>
    <w:p w:rsidR="00321DBE" w:rsidRPr="00C10642" w:rsidRDefault="004C6955" w:rsidP="00C21496">
      <w:pPr>
        <w:jc w:val="left"/>
      </w:pPr>
      <w:r w:rsidRPr="00C10642">
        <w:t>Overall,</w:t>
      </w:r>
      <w:r w:rsidR="00321DBE" w:rsidRPr="00C10642">
        <w:t xml:space="preserve"> the use of an ERA medicatio</w:t>
      </w:r>
      <w:r w:rsidR="009F466A" w:rsidRPr="00C10642">
        <w:t>n to treat patients with WHO FC </w:t>
      </w:r>
      <w:r w:rsidR="00321DBE" w:rsidRPr="00C10642">
        <w:t>I/II PAH is likely to be beneficial.</w:t>
      </w:r>
    </w:p>
    <w:p w:rsidR="00E30026" w:rsidRPr="009F466A" w:rsidRDefault="00E30026" w:rsidP="00C21496">
      <w:pPr>
        <w:pStyle w:val="Caption"/>
        <w:jc w:val="left"/>
      </w:pPr>
      <w:bookmarkStart w:id="59" w:name="_Ref511118714"/>
      <w:bookmarkStart w:id="60" w:name="_Toc513108449"/>
      <w:r>
        <w:t>Table ES.</w:t>
      </w:r>
      <w:r w:rsidR="00CC79E1">
        <w:rPr>
          <w:noProof/>
        </w:rPr>
        <w:t>5</w:t>
      </w:r>
      <w:bookmarkEnd w:id="59"/>
      <w:r>
        <w:tab/>
      </w:r>
      <w:r w:rsidRPr="009F466A">
        <w:t>Summary of the evidence for the clinical effectiveness of an ERA compared with placebo in patients with WHO FC I/II PAH</w:t>
      </w:r>
      <w:bookmarkEnd w:id="60"/>
    </w:p>
    <w:tbl>
      <w:tblPr>
        <w:tblStyle w:val="TableGrid"/>
        <w:tblW w:w="9634" w:type="dxa"/>
        <w:tblLook w:val="04A0" w:firstRow="1" w:lastRow="0" w:firstColumn="1" w:lastColumn="0" w:noHBand="0" w:noVBand="1"/>
        <w:tblCaption w:val="Summary of the evidence for the clinical effectiveness of an ERA compared with placebo in patients with WHO FC I/II PAH"/>
      </w:tblPr>
      <w:tblGrid>
        <w:gridCol w:w="1573"/>
        <w:gridCol w:w="1982"/>
        <w:gridCol w:w="6079"/>
      </w:tblGrid>
      <w:tr w:rsidR="00321DBE" w:rsidRPr="009F466A" w:rsidTr="00FF6202">
        <w:trPr>
          <w:tblHead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Outcome</w:t>
            </w:r>
          </w:p>
        </w:tc>
        <w:tc>
          <w:tcPr>
            <w:tcW w:w="1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 xml:space="preserve">Included trials </w:t>
            </w:r>
          </w:p>
          <w:p w:rsidR="00321DBE" w:rsidRPr="00532B79" w:rsidRDefault="00321DBE" w:rsidP="00C21496">
            <w:pPr>
              <w:pStyle w:val="Tabletext"/>
              <w:rPr>
                <w:b/>
              </w:rPr>
            </w:pPr>
            <w:r w:rsidRPr="00532B79">
              <w:rPr>
                <w:b/>
              </w:rPr>
              <w:t>No. of patients</w:t>
            </w:r>
          </w:p>
        </w:tc>
        <w:tc>
          <w:tcPr>
            <w:tcW w:w="6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Summary of evidence</w:t>
            </w:r>
          </w:p>
        </w:tc>
      </w:tr>
      <w:tr w:rsidR="00321DBE" w:rsidRPr="009F466A" w:rsidTr="00E30026">
        <w:tc>
          <w:tcPr>
            <w:tcW w:w="1573"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Clinical worsening</w:t>
            </w:r>
          </w:p>
        </w:tc>
        <w:tc>
          <w:tcPr>
            <w:tcW w:w="1982"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EARLY (bosentan)</w:t>
            </w:r>
          </w:p>
          <w:p w:rsidR="00321DBE" w:rsidRPr="00532B79" w:rsidRDefault="00321DBE" w:rsidP="00C21496">
            <w:pPr>
              <w:pStyle w:val="Tabletext"/>
            </w:pPr>
            <w:r w:rsidRPr="00532B79">
              <w:t>ARIES-1&amp;2 (ambrisentan)</w:t>
            </w:r>
          </w:p>
          <w:p w:rsidR="00321DBE" w:rsidRPr="00532B79" w:rsidRDefault="00321DBE" w:rsidP="00C21496">
            <w:pPr>
              <w:pStyle w:val="Tabletext"/>
            </w:pPr>
            <w:r w:rsidRPr="00532B79">
              <w:t>SERAPHIN (macitentan)</w:t>
            </w:r>
          </w:p>
          <w:p w:rsidR="00321DBE" w:rsidRPr="00532B79" w:rsidRDefault="00321DBE" w:rsidP="00C21496">
            <w:pPr>
              <w:pStyle w:val="Tabletext"/>
            </w:pPr>
            <w:r w:rsidRPr="00532B79">
              <w:t>N=375</w:t>
            </w:r>
          </w:p>
        </w:tc>
        <w:tc>
          <w:tcPr>
            <w:tcW w:w="6079"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w:t>
            </w:r>
          </w:p>
          <w:p w:rsidR="00321DBE" w:rsidRPr="00A765F3" w:rsidRDefault="00A765F3" w:rsidP="00C21496">
            <w:pPr>
              <w:pStyle w:val="Tabletext"/>
              <w:rPr>
                <w:highlight w:val="black"/>
              </w:rPr>
            </w:pPr>
            <w:r>
              <w:rPr>
                <w:noProof/>
                <w:color w:val="000000"/>
                <w:highlight w:val="black"/>
              </w:rPr>
              <w:t>''''''''''''' ''''''''' ''''''' '''''''''''''''''''''''''' '''''''''''''''''''''''' ''''' ''''''' ''''''''''''''''''''''''''''''''' ''''' ''''''''''''''''''' '''''''''''' ''''''''''''''''''''''''''''''</w:t>
            </w:r>
          </w:p>
        </w:tc>
      </w:tr>
      <w:tr w:rsidR="00321DBE" w:rsidRPr="009F466A" w:rsidTr="00E30026">
        <w:tc>
          <w:tcPr>
            <w:tcW w:w="1573"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All-cause mortality</w:t>
            </w:r>
          </w:p>
        </w:tc>
        <w:tc>
          <w:tcPr>
            <w:tcW w:w="1982"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EARLY (bosentan)</w:t>
            </w:r>
          </w:p>
          <w:p w:rsidR="00321DBE" w:rsidRPr="00532B79" w:rsidRDefault="00321DBE" w:rsidP="00C21496">
            <w:pPr>
              <w:pStyle w:val="Tabletext"/>
            </w:pPr>
            <w:r w:rsidRPr="00532B79">
              <w:t>SERAPHIN (macitentan)</w:t>
            </w:r>
          </w:p>
          <w:p w:rsidR="00321DBE" w:rsidRPr="00532B79" w:rsidRDefault="00321DBE" w:rsidP="00C21496">
            <w:pPr>
              <w:pStyle w:val="Tabletext"/>
            </w:pPr>
            <w:r w:rsidRPr="00532B79">
              <w:t>N=256</w:t>
            </w:r>
          </w:p>
        </w:tc>
        <w:tc>
          <w:tcPr>
            <w:tcW w:w="6079"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 ''' ''''''''''' ''''''''''' '''''' ''''''''''' '''''''''''''</w:t>
            </w:r>
          </w:p>
          <w:p w:rsidR="00321DBE" w:rsidRPr="00A765F3" w:rsidRDefault="00A765F3" w:rsidP="00C21496">
            <w:pPr>
              <w:pStyle w:val="Tabletext"/>
              <w:rPr>
                <w:highlight w:val="black"/>
              </w:rPr>
            </w:pPr>
            <w:r>
              <w:rPr>
                <w:noProof/>
                <w:color w:val="000000"/>
                <w:highlight w:val="black"/>
              </w:rPr>
              <w:t>'''''''''''''' ''''''''' '''''' '''''''''''''''''''''' ''''''''''''''''''''''' ''''' ''''''' '''''''''''''''''''''''''''''''' '''' '''''''''''''''''''' ''''''''''' ''''''''''''''''''''''''''''''</w:t>
            </w:r>
          </w:p>
        </w:tc>
      </w:tr>
      <w:tr w:rsidR="00321DBE" w:rsidRPr="009F466A" w:rsidTr="00E30026">
        <w:tc>
          <w:tcPr>
            <w:tcW w:w="1573"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Improved WHO FC</w:t>
            </w:r>
          </w:p>
        </w:tc>
        <w:tc>
          <w:tcPr>
            <w:tcW w:w="1982"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ARIES-1&amp;2 (ambrisentan)</w:t>
            </w:r>
          </w:p>
          <w:p w:rsidR="00321DBE" w:rsidRPr="00532B79" w:rsidRDefault="00321DBE" w:rsidP="00C21496">
            <w:pPr>
              <w:pStyle w:val="Tabletext"/>
            </w:pPr>
            <w:r w:rsidRPr="00532B79">
              <w:t>N=101</w:t>
            </w:r>
          </w:p>
        </w:tc>
        <w:tc>
          <w:tcPr>
            <w:tcW w:w="6079"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Significantly more patients improved their WHO FC after being treated with an ERA compared with receiving a placebo (ARD = 14.0%; 95% CI 4.4, 23.6)</w:t>
            </w:r>
          </w:p>
        </w:tc>
      </w:tr>
      <w:tr w:rsidR="00321DBE" w:rsidRPr="009F466A" w:rsidTr="00E30026">
        <w:tc>
          <w:tcPr>
            <w:tcW w:w="1573" w:type="dxa"/>
          </w:tcPr>
          <w:p w:rsidR="00321DBE" w:rsidRPr="00532B79" w:rsidRDefault="00321DBE" w:rsidP="00C21496">
            <w:pPr>
              <w:pStyle w:val="Tabletext"/>
            </w:pPr>
            <w:r w:rsidRPr="00532B79">
              <w:t>Worsened WHO FC</w:t>
            </w:r>
          </w:p>
        </w:tc>
        <w:tc>
          <w:tcPr>
            <w:tcW w:w="1982" w:type="dxa"/>
          </w:tcPr>
          <w:p w:rsidR="00321DBE" w:rsidRPr="00532B79" w:rsidRDefault="00321DBE" w:rsidP="00C21496">
            <w:pPr>
              <w:pStyle w:val="Tabletext"/>
            </w:pPr>
            <w:r w:rsidRPr="00532B79">
              <w:t>ARIES-1&amp;2 (ambrisentan)</w:t>
            </w:r>
          </w:p>
          <w:p w:rsidR="00321DBE" w:rsidRPr="00532B79" w:rsidRDefault="00321DBE" w:rsidP="00C21496">
            <w:pPr>
              <w:pStyle w:val="Tabletext"/>
            </w:pPr>
            <w:r w:rsidRPr="00532B79">
              <w:t>N=101</w:t>
            </w:r>
          </w:p>
        </w:tc>
        <w:tc>
          <w:tcPr>
            <w:tcW w:w="6079" w:type="dxa"/>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Fewer patients taking an ERA had worsening of their WHO FC when compared with receiving a placebo but the 95% CI indicates that there may also be an effect in the opposite direction (RR = </w:t>
            </w:r>
            <w:r w:rsidRPr="00532B79">
              <w:lastRenderedPageBreak/>
              <w:t>0.25; 95% CI 0.03, 2.20)</w:t>
            </w:r>
          </w:p>
        </w:tc>
      </w:tr>
      <w:tr w:rsidR="00321DBE" w:rsidRPr="009F466A" w:rsidTr="00E30026">
        <w:trPr>
          <w:trHeight w:val="815"/>
        </w:trPr>
        <w:tc>
          <w:tcPr>
            <w:tcW w:w="1573" w:type="dxa"/>
          </w:tcPr>
          <w:p w:rsidR="00321DBE" w:rsidRPr="00532B79" w:rsidRDefault="00321DBE" w:rsidP="00C21496">
            <w:pPr>
              <w:pStyle w:val="Tabletext"/>
            </w:pPr>
            <w:r w:rsidRPr="00532B79">
              <w:lastRenderedPageBreak/>
              <w:t>Change in 6MWD from baseline</w:t>
            </w:r>
          </w:p>
        </w:tc>
        <w:tc>
          <w:tcPr>
            <w:tcW w:w="1982" w:type="dxa"/>
          </w:tcPr>
          <w:p w:rsidR="00321DBE" w:rsidRPr="00532B79" w:rsidRDefault="00321DBE" w:rsidP="00C21496">
            <w:pPr>
              <w:pStyle w:val="Tabletext"/>
            </w:pPr>
            <w:r w:rsidRPr="00532B79">
              <w:t>EARLY (bosentan)</w:t>
            </w:r>
          </w:p>
          <w:p w:rsidR="00321DBE" w:rsidRPr="00532B79" w:rsidRDefault="00321DBE" w:rsidP="00C21496">
            <w:pPr>
              <w:pStyle w:val="Tabletext"/>
            </w:pPr>
            <w:r w:rsidRPr="00532B79">
              <w:t>ARIES-1&amp;2 (ambrisentan)</w:t>
            </w:r>
          </w:p>
          <w:p w:rsidR="00321DBE" w:rsidRPr="00532B79" w:rsidRDefault="00321DBE" w:rsidP="00C21496">
            <w:pPr>
              <w:pStyle w:val="Tabletext"/>
            </w:pPr>
            <w:r w:rsidRPr="00532B79">
              <w:t>N=154</w:t>
            </w:r>
          </w:p>
        </w:tc>
        <w:tc>
          <w:tcPr>
            <w:tcW w:w="6079"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Patients taking an ERA had a larger mean improvement in their 6MWD than those taking a placebo, and the difference was clinically important in 2 out of 3 studies (range 25.7−40.0 m walked further)</w:t>
            </w:r>
          </w:p>
          <w:p w:rsidR="00321DBE" w:rsidRPr="00532B79" w:rsidRDefault="00321DBE" w:rsidP="00C21496">
            <w:pPr>
              <w:pStyle w:val="Tabletext"/>
            </w:pPr>
            <w:r w:rsidRPr="00532B79">
              <w:t>There was no significant difference in the effectiveness of different ERA medications</w:t>
            </w:r>
          </w:p>
        </w:tc>
      </w:tr>
      <w:tr w:rsidR="00321DBE" w:rsidRPr="009F466A" w:rsidTr="00E30026">
        <w:tc>
          <w:tcPr>
            <w:tcW w:w="1573"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Change in haemodynamic parameter from baseline:</w:t>
            </w:r>
          </w:p>
          <w:p w:rsidR="00321DBE" w:rsidRPr="00532B79" w:rsidRDefault="00321DBE" w:rsidP="00C21496">
            <w:pPr>
              <w:pStyle w:val="Tabletext"/>
            </w:pPr>
            <w:r w:rsidRPr="00532B79">
              <w:t>PVR</w:t>
            </w:r>
          </w:p>
        </w:tc>
        <w:tc>
          <w:tcPr>
            <w:tcW w:w="1982"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EARLY (bosentan)</w:t>
            </w:r>
          </w:p>
          <w:p w:rsidR="00321DBE" w:rsidRPr="00532B79" w:rsidRDefault="00321DBE" w:rsidP="00C21496">
            <w:pPr>
              <w:pStyle w:val="Tabletext"/>
            </w:pPr>
            <w:r w:rsidRPr="00532B79">
              <w:t>N=156</w:t>
            </w:r>
          </w:p>
        </w:tc>
        <w:tc>
          <w:tcPr>
            <w:tcW w:w="6079" w:type="dxa"/>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Patients taking an ERA had a larger mean improvement in their PVR than those taking a placebo (MD = 23.1% improvement was a clinically important difference)</w:t>
            </w:r>
          </w:p>
        </w:tc>
      </w:tr>
    </w:tbl>
    <w:p w:rsidR="00321DBE" w:rsidRPr="00532B79" w:rsidRDefault="00321DBE" w:rsidP="00C21496">
      <w:pPr>
        <w:pStyle w:val="Tablenote"/>
        <w:jc w:val="left"/>
      </w:pPr>
      <w:r w:rsidRPr="00532B79">
        <w:t>6MWD = 6-minute walk distance; ARD = absolute risk difference; CI = confidence interval; ERA = endothelin receptor antagonist; FC = functional class; GRADE = grading of recommendations assessment, development and evaluation1; MD = mean difference; PAH = pulmonary arterial hypertension; PVR = pulmonary vascular resistance; RCT = randomised controlled trial; RR = relative risk; WHO = World Health Organization</w:t>
      </w:r>
    </w:p>
    <w:p w:rsidR="004C6955" w:rsidRPr="004C6955" w:rsidRDefault="004C6955" w:rsidP="00C21496">
      <w:pPr>
        <w:pStyle w:val="Heading5"/>
        <w:keepLines w:val="0"/>
        <w:numPr>
          <w:ilvl w:val="0"/>
          <w:numId w:val="0"/>
        </w:numPr>
        <w:spacing w:before="240"/>
        <w:jc w:val="left"/>
        <w:rPr>
          <w:color w:val="auto"/>
          <w:u w:val="single"/>
        </w:rPr>
      </w:pPr>
      <w:r w:rsidRPr="004C6955">
        <w:rPr>
          <w:color w:val="auto"/>
          <w:u w:val="single"/>
        </w:rPr>
        <w:t>Safety</w:t>
      </w:r>
    </w:p>
    <w:p w:rsidR="00321DBE" w:rsidRPr="009F466A" w:rsidRDefault="00321DBE" w:rsidP="00C21496">
      <w:pPr>
        <w:jc w:val="left"/>
      </w:pPr>
      <w:r w:rsidRPr="009F466A">
        <w:t>There is no evidence to evaluate the comparative safety of an ERA medication versus placebo when used to treat patients with WHO FC I/II PAH.</w:t>
      </w:r>
    </w:p>
    <w:p w:rsidR="00321DBE" w:rsidRPr="009F466A" w:rsidRDefault="00321DBE" w:rsidP="00C21496">
      <w:pPr>
        <w:pStyle w:val="Heading4"/>
      </w:pPr>
      <w:r w:rsidRPr="009F466A">
        <w:t>PDE-5 inhibitor versus placebo</w:t>
      </w:r>
    </w:p>
    <w:p w:rsidR="004C6955" w:rsidRPr="00A601D3" w:rsidRDefault="004C6955" w:rsidP="00C21496">
      <w:pPr>
        <w:pStyle w:val="Heading5"/>
        <w:keepLines w:val="0"/>
        <w:numPr>
          <w:ilvl w:val="0"/>
          <w:numId w:val="0"/>
        </w:numPr>
        <w:spacing w:before="240"/>
        <w:jc w:val="left"/>
        <w:rPr>
          <w:color w:val="auto"/>
          <w:u w:val="single"/>
        </w:rPr>
      </w:pPr>
      <w:bookmarkStart w:id="61" w:name="_Ref506281939"/>
      <w:bookmarkStart w:id="62" w:name="_Toc508396835"/>
      <w:r w:rsidRPr="00A601D3">
        <w:rPr>
          <w:color w:val="auto"/>
          <w:u w:val="single"/>
        </w:rPr>
        <w:t>Clinical effectiveness</w:t>
      </w:r>
    </w:p>
    <w:p w:rsidR="004C6955" w:rsidRDefault="004C6955" w:rsidP="00C21496">
      <w:pPr>
        <w:jc w:val="left"/>
      </w:pPr>
      <w:r w:rsidRPr="0042195A">
        <w:t xml:space="preserve">Three RCTs were identified that reported on the effectiveness of </w:t>
      </w:r>
      <w:r>
        <w:t>a PDE-5 inhibitor, as monotherapy,</w:t>
      </w:r>
      <w:r w:rsidRPr="0042195A">
        <w:t xml:space="preserve"> </w:t>
      </w:r>
      <w:r>
        <w:t>when compared to</w:t>
      </w:r>
      <w:r w:rsidRPr="0042195A">
        <w:t xml:space="preserve"> placebo in patients with WHO FC I/II PAH</w:t>
      </w:r>
      <w:r>
        <w:t>:</w:t>
      </w:r>
    </w:p>
    <w:p w:rsidR="004C6955" w:rsidRPr="00CF209C" w:rsidRDefault="004C6955" w:rsidP="00C21496">
      <w:pPr>
        <w:pStyle w:val="Bullettext"/>
        <w:ind w:left="720"/>
      </w:pPr>
      <w:r w:rsidRPr="00CF209C">
        <w:t xml:space="preserve">The PHIRST and </w:t>
      </w:r>
      <w:proofErr w:type="spellStart"/>
      <w:r w:rsidRPr="00CF209C">
        <w:t>Mukhopadhyay</w:t>
      </w:r>
      <w:proofErr w:type="spellEnd"/>
      <w:r w:rsidRPr="00CF209C">
        <w:t xml:space="preserve"> 2011 trials used tadalafil</w:t>
      </w:r>
    </w:p>
    <w:p w:rsidR="004C6955" w:rsidRPr="00CF209C" w:rsidRDefault="004C6955" w:rsidP="00C21496">
      <w:pPr>
        <w:pStyle w:val="Bullettext"/>
        <w:ind w:left="720"/>
      </w:pPr>
      <w:r w:rsidRPr="00CF209C">
        <w:t>The SUPER-1 trial used sildenafil</w:t>
      </w:r>
      <w:r>
        <w:t>.</w:t>
      </w:r>
    </w:p>
    <w:p w:rsidR="004C6955" w:rsidRDefault="004C6955" w:rsidP="00C21496">
      <w:pPr>
        <w:jc w:val="left"/>
      </w:pPr>
      <w:r>
        <w:t xml:space="preserve">Neither </w:t>
      </w:r>
      <w:r w:rsidRPr="006316DF">
        <w:t>of these trials reported on all-cause mortality for the subgroup of patients with WHO FC I/II PAH</w:t>
      </w:r>
      <w:r>
        <w:t xml:space="preserve">. Two </w:t>
      </w:r>
      <w:r w:rsidRPr="006316DF">
        <w:t>cohort stud</w:t>
      </w:r>
      <w:r>
        <w:t>ies</w:t>
      </w:r>
      <w:r w:rsidRPr="006316DF">
        <w:t xml:space="preserve"> </w:t>
      </w:r>
      <w:r>
        <w:t>were identified</w:t>
      </w:r>
      <w:r w:rsidRPr="006316DF">
        <w:t xml:space="preserve"> </w:t>
      </w:r>
      <w:r>
        <w:t xml:space="preserve">that </w:t>
      </w:r>
      <w:r w:rsidRPr="006316DF">
        <w:t xml:space="preserve">reported on the mortality </w:t>
      </w:r>
      <w:r>
        <w:t xml:space="preserve">of </w:t>
      </w:r>
      <w:r w:rsidRPr="006316DF">
        <w:t xml:space="preserve">patients with WHO FC </w:t>
      </w:r>
      <w:proofErr w:type="gramStart"/>
      <w:r w:rsidRPr="006316DF">
        <w:t>I/II</w:t>
      </w:r>
      <w:proofErr w:type="gramEnd"/>
      <w:r w:rsidRPr="006316DF">
        <w:t xml:space="preserve"> PAH who were treated with either sildenafil or conventional therapy</w:t>
      </w:r>
      <w:r>
        <w:t>:</w:t>
      </w:r>
    </w:p>
    <w:p w:rsidR="004C6955" w:rsidRPr="00542902" w:rsidRDefault="004C6955" w:rsidP="00C21496">
      <w:pPr>
        <w:pStyle w:val="Bullettext"/>
        <w:ind w:left="720"/>
      </w:pPr>
      <w:r w:rsidRPr="00542902">
        <w:t xml:space="preserve">Sun 2013 enrolled patients with </w:t>
      </w:r>
      <w:proofErr w:type="spellStart"/>
      <w:r w:rsidRPr="00542902">
        <w:t>Eisenmenger</w:t>
      </w:r>
      <w:proofErr w:type="spellEnd"/>
      <w:r w:rsidRPr="00542902">
        <w:t xml:space="preserve"> syndrome</w:t>
      </w:r>
      <w:r>
        <w:t xml:space="preserve"> who were followed for up to 2 </w:t>
      </w:r>
      <w:r w:rsidRPr="00542902">
        <w:t>years</w:t>
      </w:r>
    </w:p>
    <w:p w:rsidR="004C6955" w:rsidRPr="00542902" w:rsidRDefault="004C6955" w:rsidP="00C21496">
      <w:pPr>
        <w:pStyle w:val="Bullettext"/>
        <w:ind w:left="720"/>
      </w:pPr>
      <w:proofErr w:type="spellStart"/>
      <w:r w:rsidRPr="00542902">
        <w:t>Sastry</w:t>
      </w:r>
      <w:proofErr w:type="spellEnd"/>
      <w:r w:rsidRPr="00542902">
        <w:t xml:space="preserve"> 2007 collected prospectively</w:t>
      </w:r>
      <w:r>
        <w:t xml:space="preserve"> acquired</w:t>
      </w:r>
      <w:r w:rsidRPr="00542902">
        <w:t xml:space="preserve"> survival data from a h</w:t>
      </w:r>
      <w:r>
        <w:t>ospital registry for five years</w:t>
      </w:r>
      <w:r w:rsidRPr="00542902">
        <w:t xml:space="preserve"> f</w:t>
      </w:r>
      <w:r>
        <w:t>or</w:t>
      </w:r>
      <w:r w:rsidRPr="00542902">
        <w:t xml:space="preserve"> patients with IPAH of WHO FC II-I</w:t>
      </w:r>
      <w:r>
        <w:t>V being treated with sildenafil.</w:t>
      </w:r>
    </w:p>
    <w:p w:rsidR="004C6955" w:rsidRPr="0042195A" w:rsidRDefault="004C6955" w:rsidP="00C21496">
      <w:pPr>
        <w:jc w:val="left"/>
      </w:pPr>
      <w:r>
        <w:t xml:space="preserve">The evidence provided by these studies is summarised in </w:t>
      </w:r>
      <w:r w:rsidR="00CC79E1">
        <w:t>Table ES.</w:t>
      </w:r>
      <w:r w:rsidR="00CC79E1">
        <w:rPr>
          <w:noProof/>
        </w:rPr>
        <w:t>6</w:t>
      </w:r>
      <w:r>
        <w:t>.</w:t>
      </w:r>
    </w:p>
    <w:p w:rsidR="004C6955" w:rsidRDefault="004C6955" w:rsidP="00C21496">
      <w:pPr>
        <w:jc w:val="left"/>
      </w:pPr>
      <w:r w:rsidRPr="0042195A">
        <w:t xml:space="preserve">Overall, </w:t>
      </w:r>
      <w:r w:rsidRPr="00843DF8">
        <w:t>there is considerable uncertainty as to whether the use of PDE-5 inhibitor medication to treat patients with WHO FC I/II PAH would be beneficial</w:t>
      </w:r>
      <w:r w:rsidRPr="0042195A">
        <w:t xml:space="preserve">. </w:t>
      </w:r>
    </w:p>
    <w:bookmarkEnd w:id="61"/>
    <w:bookmarkEnd w:id="62"/>
    <w:p w:rsidR="00E30026" w:rsidRDefault="00E30026" w:rsidP="00C21496">
      <w:pPr>
        <w:jc w:val="left"/>
        <w:rPr>
          <w:rFonts w:eastAsia="Times New Roman" w:cs="Times New Roman"/>
          <w:b/>
          <w:bCs/>
          <w:szCs w:val="18"/>
        </w:rPr>
      </w:pPr>
      <w:r>
        <w:br w:type="page"/>
      </w:r>
    </w:p>
    <w:p w:rsidR="00E30026" w:rsidRPr="00E30026" w:rsidRDefault="004A1130" w:rsidP="00C21496">
      <w:pPr>
        <w:pStyle w:val="Caption"/>
        <w:jc w:val="left"/>
      </w:pPr>
      <w:bookmarkStart w:id="63" w:name="_Ref511118726"/>
      <w:bookmarkStart w:id="64" w:name="_Toc513108450"/>
      <w:r>
        <w:lastRenderedPageBreak/>
        <w:t>Table ES.</w:t>
      </w:r>
      <w:r w:rsidR="00CC79E1">
        <w:rPr>
          <w:noProof/>
        </w:rPr>
        <w:t>6</w:t>
      </w:r>
      <w:bookmarkEnd w:id="63"/>
      <w:r w:rsidR="00E30026">
        <w:tab/>
      </w:r>
      <w:r w:rsidR="00E30026" w:rsidRPr="009F466A">
        <w:t>Summary of the evidence for the clinical effectiveness of a PDE-5 inhibitor versus placebo in patients with WHO FC I/II PAH</w:t>
      </w:r>
      <w:bookmarkEnd w:id="64"/>
    </w:p>
    <w:tbl>
      <w:tblPr>
        <w:tblStyle w:val="TableGrid"/>
        <w:tblW w:w="9634" w:type="dxa"/>
        <w:tblLook w:val="04A0" w:firstRow="1" w:lastRow="0" w:firstColumn="1" w:lastColumn="0" w:noHBand="0" w:noVBand="1"/>
        <w:tblCaption w:val="Summary of the evidence for the clinical effectiveness of a PDE-5 inhibitor versus placebo in patients with WHO FC I/II PAH"/>
      </w:tblPr>
      <w:tblGrid>
        <w:gridCol w:w="1555"/>
        <w:gridCol w:w="1984"/>
        <w:gridCol w:w="6095"/>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 xml:space="preserve">Included trials </w:t>
            </w:r>
          </w:p>
          <w:p w:rsidR="00321DBE" w:rsidRPr="00532B79" w:rsidRDefault="00321DBE" w:rsidP="00C21496">
            <w:pPr>
              <w:pStyle w:val="Tabletext"/>
              <w:rPr>
                <w:b/>
              </w:rPr>
            </w:pPr>
            <w:r w:rsidRPr="00532B79">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Summary of evidence</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Sun 2013 cohort study (sildenafil)</w:t>
            </w:r>
          </w:p>
          <w:p w:rsidR="00321DBE" w:rsidRPr="00532B79" w:rsidRDefault="00321DBE" w:rsidP="00C21496">
            <w:pPr>
              <w:pStyle w:val="Tabletext"/>
            </w:pPr>
            <w:proofErr w:type="spellStart"/>
            <w:r w:rsidRPr="00532B79">
              <w:t>Sastry</w:t>
            </w:r>
            <w:proofErr w:type="spellEnd"/>
            <w:r w:rsidRPr="00532B79">
              <w:t xml:space="preserve"> 2007 cohort study (sildenafil)</w:t>
            </w:r>
          </w:p>
          <w:p w:rsidR="00321DBE" w:rsidRPr="00532B79" w:rsidRDefault="00321DBE" w:rsidP="00C21496">
            <w:pPr>
              <w:pStyle w:val="Tabletext"/>
            </w:pPr>
            <w:r w:rsidRPr="00532B79">
              <w:t>N=76</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Fewer patients died after treatment with a PDE-5 inhibitor compared with placebo, but the 95% CI indicates that there may also be an effect in the opposite direction (pooled RR = 0.32; 95% CI 0.05, 1.90)</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Improved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proofErr w:type="spellStart"/>
            <w:r w:rsidRPr="00532B79">
              <w:t>Mukhopadhyay</w:t>
            </w:r>
            <w:proofErr w:type="spellEnd"/>
            <w:r w:rsidRPr="00532B79">
              <w:t xml:space="preserve"> 2011 (tadalafil)</w:t>
            </w:r>
          </w:p>
          <w:p w:rsidR="00321DBE" w:rsidRPr="00532B79" w:rsidRDefault="00321DBE" w:rsidP="00C21496">
            <w:pPr>
              <w:pStyle w:val="Tabletext"/>
            </w:pPr>
            <w:r w:rsidRPr="00532B79">
              <w:t>N=22</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The same proportion of patients improved their WHO FC taking a PDE-5 inhibitor compared with placebo, but the wide 95% CI indicates that the study was underpowered for this outcome (RR = 1.00; 95% CI 0.07, 15.00)</w:t>
            </w:r>
          </w:p>
        </w:tc>
      </w:tr>
      <w:tr w:rsidR="00321DBE" w:rsidRPr="009F466A" w:rsidTr="00321DBE">
        <w:tc>
          <w:tcPr>
            <w:tcW w:w="1555" w:type="dxa"/>
          </w:tcPr>
          <w:p w:rsidR="00321DBE" w:rsidRPr="00532B79" w:rsidRDefault="00321DBE" w:rsidP="00C21496">
            <w:pPr>
              <w:pStyle w:val="Tabletext"/>
            </w:pPr>
            <w:r w:rsidRPr="00532B79">
              <w:t>Worsened WHO FC</w:t>
            </w:r>
          </w:p>
        </w:tc>
        <w:tc>
          <w:tcPr>
            <w:tcW w:w="1984" w:type="dxa"/>
          </w:tcPr>
          <w:p w:rsidR="00321DBE" w:rsidRPr="00532B79" w:rsidRDefault="00321DBE" w:rsidP="00C21496">
            <w:pPr>
              <w:pStyle w:val="Tabletext"/>
            </w:pPr>
            <w:proofErr w:type="spellStart"/>
            <w:r w:rsidRPr="00532B79">
              <w:t>Mukhopadhyay</w:t>
            </w:r>
            <w:proofErr w:type="spellEnd"/>
            <w:r w:rsidRPr="00532B79">
              <w:t xml:space="preserve"> 2011 (tadalafil)</w:t>
            </w:r>
          </w:p>
          <w:p w:rsidR="00321DBE" w:rsidRPr="00532B79" w:rsidRDefault="00321DBE" w:rsidP="00C21496">
            <w:pPr>
              <w:pStyle w:val="Tabletext"/>
            </w:pPr>
            <w:r w:rsidRPr="00532B79">
              <w:t>N=22</w:t>
            </w:r>
          </w:p>
        </w:tc>
        <w:tc>
          <w:tcPr>
            <w:tcW w:w="6095" w:type="dxa"/>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No patients had worsening of their WHO FC during the study period.</w:t>
            </w:r>
          </w:p>
        </w:tc>
      </w:tr>
      <w:tr w:rsidR="00321DBE" w:rsidRPr="009F466A" w:rsidTr="00321DBE">
        <w:trPr>
          <w:trHeight w:val="795"/>
        </w:trPr>
        <w:tc>
          <w:tcPr>
            <w:tcW w:w="1555" w:type="dxa"/>
          </w:tcPr>
          <w:p w:rsidR="00321DBE" w:rsidRPr="00532B79" w:rsidRDefault="00321DBE" w:rsidP="00C21496">
            <w:pPr>
              <w:pStyle w:val="Tabletext"/>
            </w:pPr>
            <w:r w:rsidRPr="00532B79">
              <w:t>Change in 6MWD from baseline</w:t>
            </w:r>
          </w:p>
        </w:tc>
        <w:tc>
          <w:tcPr>
            <w:tcW w:w="1984" w:type="dxa"/>
          </w:tcPr>
          <w:p w:rsidR="00321DBE" w:rsidRPr="00532B79" w:rsidRDefault="00321DBE" w:rsidP="00C21496">
            <w:pPr>
              <w:pStyle w:val="Tabletext"/>
            </w:pPr>
            <w:r w:rsidRPr="00532B79">
              <w:t>PHIRST (tadalafil)</w:t>
            </w:r>
          </w:p>
          <w:p w:rsidR="00321DBE" w:rsidRPr="00532B79" w:rsidRDefault="00321DBE" w:rsidP="00C21496">
            <w:pPr>
              <w:pStyle w:val="Tabletext"/>
            </w:pPr>
            <w:r w:rsidRPr="00532B79">
              <w:t>SUPER-1 (sildenafil)</w:t>
            </w:r>
          </w:p>
          <w:p w:rsidR="00321DBE" w:rsidRPr="00532B79" w:rsidRDefault="00321DBE" w:rsidP="00C21496">
            <w:pPr>
              <w:pStyle w:val="Tabletext"/>
            </w:pPr>
            <w:r w:rsidRPr="00532B79">
              <w:t>N=73</w:t>
            </w:r>
          </w:p>
        </w:tc>
        <w:tc>
          <w:tcPr>
            <w:tcW w:w="6095" w:type="dxa"/>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Patients taking a PDE-5 inhibitor had a larger mean improvement in their 6MWD than those taking a placebo, and the difference was clinically important in </w:t>
            </w:r>
            <w:r w:rsidR="00A765F3">
              <w:rPr>
                <w:noProof/>
                <w:color w:val="000000"/>
                <w:highlight w:val="black"/>
              </w:rPr>
              <w:t>'''' '''''''''''''</w:t>
            </w:r>
            <w:r w:rsidRPr="00532B79">
              <w:t xml:space="preserve"> (range </w:t>
            </w:r>
            <w:r w:rsidR="00A765F3">
              <w:rPr>
                <w:noProof/>
                <w:color w:val="000000"/>
                <w:highlight w:val="black"/>
              </w:rPr>
              <w:t>''''''''''''''''''''''''' '''''</w:t>
            </w:r>
            <w:r w:rsidRPr="00532B79">
              <w:t xml:space="preserve"> walked further)</w:t>
            </w:r>
          </w:p>
          <w:p w:rsidR="00321DBE" w:rsidRPr="00532B79" w:rsidRDefault="00321DBE" w:rsidP="00C21496">
            <w:pPr>
              <w:pStyle w:val="Tabletext"/>
            </w:pPr>
            <w:r w:rsidRPr="00532B79">
              <w:t>No significant difference in the effectiveness of different PDE-5 inhibitors</w:t>
            </w:r>
          </w:p>
        </w:tc>
      </w:tr>
    </w:tbl>
    <w:p w:rsidR="00321DBE" w:rsidRPr="00532B79" w:rsidRDefault="00321DBE" w:rsidP="00C21496">
      <w:pPr>
        <w:pStyle w:val="Tablenote"/>
        <w:jc w:val="left"/>
      </w:pPr>
      <w:r w:rsidRPr="00532B79">
        <w:t>6MWD = 6-minute walk distance; CI = confidence interval; FC = functional class; GRADE = grading of recommendations assessment, development and evaluation1; PAH = pulmonary arterial hypertension; PDE-5 = phosphodiesterase type 5; RCT = randomised controlled trial; RR = relative risk; WHO = World Health Organization</w:t>
      </w:r>
    </w:p>
    <w:p w:rsidR="004C6955" w:rsidRPr="004C6955" w:rsidRDefault="004C6955" w:rsidP="00C21496">
      <w:pPr>
        <w:pStyle w:val="Heading5"/>
        <w:keepLines w:val="0"/>
        <w:numPr>
          <w:ilvl w:val="0"/>
          <w:numId w:val="0"/>
        </w:numPr>
        <w:spacing w:before="240"/>
        <w:jc w:val="left"/>
        <w:rPr>
          <w:color w:val="auto"/>
          <w:u w:val="single"/>
        </w:rPr>
      </w:pPr>
      <w:r w:rsidRPr="004C6955">
        <w:rPr>
          <w:color w:val="auto"/>
          <w:u w:val="single"/>
        </w:rPr>
        <w:t>Safety</w:t>
      </w:r>
    </w:p>
    <w:p w:rsidR="00321DBE" w:rsidRPr="009F466A" w:rsidRDefault="00321DBE" w:rsidP="00C21496">
      <w:pPr>
        <w:jc w:val="left"/>
      </w:pPr>
      <w:r w:rsidRPr="009F466A">
        <w:t>There was no evidence available to evaluate the comparative safety of PDE-5 inhibitors versus placebo when used to treat patients with WHO FC I/II PAH.</w:t>
      </w:r>
    </w:p>
    <w:p w:rsidR="00321DBE" w:rsidRPr="009F466A" w:rsidRDefault="00321DBE" w:rsidP="00C21496">
      <w:pPr>
        <w:pStyle w:val="Heading4"/>
      </w:pPr>
      <w:r w:rsidRPr="009F466A">
        <w:t>Prostanoid versus placebo</w:t>
      </w:r>
    </w:p>
    <w:p w:rsidR="00321DBE" w:rsidRPr="009F466A" w:rsidRDefault="00321DBE" w:rsidP="00C21496">
      <w:pPr>
        <w:jc w:val="left"/>
      </w:pPr>
      <w:r w:rsidRPr="009F466A">
        <w:t>There was no evidence available to determine the safety and effectiveness of prostanoids in treating patients with WHO FC I/II PAH.</w:t>
      </w:r>
    </w:p>
    <w:p w:rsidR="00321DBE" w:rsidRPr="009F466A" w:rsidRDefault="00321DBE" w:rsidP="00C21496">
      <w:pPr>
        <w:pStyle w:val="Heading4"/>
      </w:pPr>
      <w:proofErr w:type="gramStart"/>
      <w:r w:rsidRPr="009F466A">
        <w:t>sGC</w:t>
      </w:r>
      <w:proofErr w:type="gramEnd"/>
      <w:r w:rsidRPr="009F466A">
        <w:t xml:space="preserve"> stimulator versus placebo</w:t>
      </w:r>
    </w:p>
    <w:p w:rsidR="004C6955" w:rsidRPr="004C6955" w:rsidRDefault="004C6955" w:rsidP="00C21496">
      <w:pPr>
        <w:pStyle w:val="Heading5"/>
        <w:keepLines w:val="0"/>
        <w:numPr>
          <w:ilvl w:val="0"/>
          <w:numId w:val="0"/>
        </w:numPr>
        <w:spacing w:before="240"/>
        <w:jc w:val="left"/>
        <w:rPr>
          <w:color w:val="auto"/>
          <w:u w:val="single"/>
        </w:rPr>
      </w:pPr>
      <w:bookmarkStart w:id="65" w:name="_Ref506282992"/>
      <w:bookmarkStart w:id="66" w:name="_Toc508396836"/>
      <w:r w:rsidRPr="004C6955">
        <w:rPr>
          <w:color w:val="auto"/>
          <w:u w:val="single"/>
        </w:rPr>
        <w:t>Clinical effectiveness</w:t>
      </w:r>
    </w:p>
    <w:p w:rsidR="004C6955" w:rsidRDefault="004C6955" w:rsidP="00C21496">
      <w:pPr>
        <w:jc w:val="left"/>
      </w:pPr>
      <w:r w:rsidRPr="0042195A">
        <w:t xml:space="preserve">Only one RCT was identified that reported on the effectiveness of </w:t>
      </w:r>
      <w:r>
        <w:t>monotherapy with a</w:t>
      </w:r>
      <w:r w:rsidRPr="0042195A">
        <w:t xml:space="preserve"> </w:t>
      </w:r>
      <w:r>
        <w:t xml:space="preserve">sGC stimulator </w:t>
      </w:r>
      <w:r w:rsidRPr="0042195A">
        <w:t>in treating PAH compared with placebo in patients with WHO FC I/II PAH</w:t>
      </w:r>
      <w:r>
        <w:t>:</w:t>
      </w:r>
    </w:p>
    <w:p w:rsidR="004C6955" w:rsidRPr="00542902" w:rsidRDefault="004C6955" w:rsidP="00C21496">
      <w:pPr>
        <w:pStyle w:val="Bullettext"/>
        <w:ind w:left="720"/>
      </w:pPr>
      <w:r w:rsidRPr="00542902">
        <w:t>The</w:t>
      </w:r>
      <w:r>
        <w:t xml:space="preserve"> PATENT-1 trial used riociguat.</w:t>
      </w:r>
    </w:p>
    <w:p w:rsidR="004C6955" w:rsidRPr="0042195A" w:rsidRDefault="004C6955" w:rsidP="00C21496">
      <w:pPr>
        <w:jc w:val="left"/>
      </w:pPr>
      <w:r>
        <w:t xml:space="preserve">The evidence provided by this trial is summarised in </w:t>
      </w:r>
      <w:r w:rsidR="00CC79E1">
        <w:t>Table ES.</w:t>
      </w:r>
      <w:r w:rsidR="00CC79E1">
        <w:rPr>
          <w:noProof/>
        </w:rPr>
        <w:t>7</w:t>
      </w:r>
      <w:r>
        <w:t>.</w:t>
      </w:r>
    </w:p>
    <w:p w:rsidR="004C6955" w:rsidRDefault="004C6955" w:rsidP="00C21496">
      <w:pPr>
        <w:jc w:val="left"/>
      </w:pPr>
      <w:r w:rsidRPr="0042195A">
        <w:t xml:space="preserve">Overall, </w:t>
      </w:r>
      <w:r w:rsidRPr="00843DF8">
        <w:t xml:space="preserve">there is </w:t>
      </w:r>
      <w:r w:rsidR="00A765F3">
        <w:rPr>
          <w:noProof/>
          <w:color w:val="000000"/>
          <w:highlight w:val="black"/>
        </w:rPr>
        <w:t>'''''''''''''''''''''''' '''''''''''''''''''''</w:t>
      </w:r>
      <w:r w:rsidRPr="00843DF8">
        <w:t xml:space="preserve"> as to whether the use of sGC stimulator medication to treat patients with WHO FC I/II PAH </w:t>
      </w:r>
      <w:r w:rsidR="00A765F3">
        <w:rPr>
          <w:noProof/>
          <w:color w:val="000000"/>
          <w:highlight w:val="black"/>
        </w:rPr>
        <w:t>''' ''''''''''''''''''</w:t>
      </w:r>
      <w:r>
        <w:t>.</w:t>
      </w:r>
    </w:p>
    <w:p w:rsidR="00E30026" w:rsidRPr="00E30026" w:rsidRDefault="00E30026" w:rsidP="00C21496">
      <w:pPr>
        <w:pStyle w:val="Caption"/>
        <w:jc w:val="left"/>
      </w:pPr>
      <w:bookmarkStart w:id="67" w:name="_Ref511118742"/>
      <w:bookmarkStart w:id="68" w:name="_Toc513108451"/>
      <w:bookmarkEnd w:id="65"/>
      <w:bookmarkEnd w:id="66"/>
      <w:r>
        <w:lastRenderedPageBreak/>
        <w:t>Table ES.</w:t>
      </w:r>
      <w:r w:rsidR="00CC79E1">
        <w:rPr>
          <w:noProof/>
        </w:rPr>
        <w:t>7</w:t>
      </w:r>
      <w:bookmarkEnd w:id="67"/>
      <w:r>
        <w:tab/>
      </w:r>
      <w:r w:rsidRPr="009F466A">
        <w:t>Summary of the evidence for the clinical effectiveness of a sGC stimulator versus placebo in patients with WHO FC I/II PAH</w:t>
      </w:r>
      <w:bookmarkEnd w:id="68"/>
    </w:p>
    <w:tbl>
      <w:tblPr>
        <w:tblStyle w:val="TableGrid"/>
        <w:tblW w:w="9634" w:type="dxa"/>
        <w:tblLook w:val="04A0" w:firstRow="1" w:lastRow="0" w:firstColumn="1" w:lastColumn="0" w:noHBand="0" w:noVBand="1"/>
        <w:tblCaption w:val="Summary of the evidence for the clinical effectiveness of a sGC stimulator versus placebo in patients with WHO FC I/II PAH"/>
      </w:tblPr>
      <w:tblGrid>
        <w:gridCol w:w="1573"/>
        <w:gridCol w:w="1981"/>
        <w:gridCol w:w="6080"/>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 xml:space="preserve">Included trials </w:t>
            </w:r>
          </w:p>
          <w:p w:rsidR="00321DBE" w:rsidRPr="00532B79" w:rsidRDefault="00321DBE" w:rsidP="00C21496">
            <w:pPr>
              <w:pStyle w:val="Tabletext"/>
              <w:rPr>
                <w:b/>
              </w:rPr>
            </w:pPr>
            <w:r w:rsidRPr="00532B79">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b/>
              </w:rPr>
            </w:pPr>
            <w:r w:rsidRPr="00532B79">
              <w:rPr>
                <w:b/>
              </w:rPr>
              <w:t>Summary of evidence</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Clinical worsening</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PATENT-1 (riociguat)</w:t>
            </w:r>
          </w:p>
          <w:p w:rsidR="00321DBE" w:rsidRPr="00532B79" w:rsidRDefault="00321DBE" w:rsidP="00C21496">
            <w:pPr>
              <w:pStyle w:val="Tabletext"/>
            </w:pPr>
            <w:r w:rsidRPr="00532B79">
              <w:t>N=107</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 '''' '''''''''''' ''''''''' ''''' ''''''''''''' ''''''''''''</w:t>
            </w:r>
          </w:p>
        </w:tc>
      </w:tr>
      <w:tr w:rsidR="00321DBE" w:rsidRPr="009F466A" w:rsidTr="00321DBE">
        <w:tc>
          <w:tcPr>
            <w:tcW w:w="1555" w:type="dxa"/>
          </w:tcPr>
          <w:p w:rsidR="00321DBE" w:rsidRPr="00532B79" w:rsidRDefault="00321DBE" w:rsidP="00C21496">
            <w:pPr>
              <w:pStyle w:val="Tabletext"/>
            </w:pPr>
            <w:r w:rsidRPr="00532B79">
              <w:t>All-cause mortality</w:t>
            </w:r>
          </w:p>
        </w:tc>
        <w:tc>
          <w:tcPr>
            <w:tcW w:w="1984" w:type="dxa"/>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Improved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 ''''''''''''''''''' '''''''''' ''' ''''''''''' ''''''''''' '''''' ''''''''''''' '''''''''''''</w:t>
            </w:r>
          </w:p>
        </w:tc>
      </w:tr>
      <w:tr w:rsidR="00321DBE" w:rsidRPr="009F466A" w:rsidTr="00321DBE">
        <w:tc>
          <w:tcPr>
            <w:tcW w:w="1555" w:type="dxa"/>
          </w:tcPr>
          <w:p w:rsidR="00321DBE" w:rsidRPr="00532B79" w:rsidRDefault="00321DBE" w:rsidP="00C21496">
            <w:pPr>
              <w:pStyle w:val="Tabletext"/>
            </w:pPr>
            <w:r w:rsidRPr="00532B79">
              <w:t>Worsened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w:t>
            </w:r>
          </w:p>
        </w:tc>
      </w:tr>
      <w:tr w:rsidR="00321DBE" w:rsidRPr="009F466A" w:rsidTr="00321DBE">
        <w:tc>
          <w:tcPr>
            <w:tcW w:w="1555" w:type="dxa"/>
          </w:tcPr>
          <w:p w:rsidR="00321DBE" w:rsidRPr="00532B79" w:rsidRDefault="00321DBE" w:rsidP="00C21496">
            <w:pPr>
              <w:pStyle w:val="Tabletext"/>
            </w:pPr>
            <w:r w:rsidRPr="00532B79">
              <w:t>Change in 6MWD from baseline</w:t>
            </w:r>
          </w:p>
        </w:tc>
        <w:tc>
          <w:tcPr>
            <w:tcW w:w="1984" w:type="dxa"/>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 ''''' '''''''''''''''''' ''''''''''''''''' '''''''''' ''''' '''''''''''''''' '''''''''''''</w:t>
            </w:r>
          </w:p>
        </w:tc>
      </w:tr>
      <w:tr w:rsidR="00321DBE" w:rsidRPr="009F466A" w:rsidTr="00321DBE">
        <w:trPr>
          <w:trHeight w:val="567"/>
        </w:trPr>
        <w:tc>
          <w:tcPr>
            <w:tcW w:w="1555" w:type="dxa"/>
          </w:tcPr>
          <w:p w:rsidR="00321DBE" w:rsidRPr="00532B79" w:rsidRDefault="00321DBE" w:rsidP="00C21496">
            <w:pPr>
              <w:pStyle w:val="Tabletext"/>
            </w:pPr>
            <w:r w:rsidRPr="00532B79">
              <w:t>Change in QoL from baseline:</w:t>
            </w:r>
          </w:p>
          <w:p w:rsidR="00321DBE" w:rsidRPr="00532B79" w:rsidRDefault="00321DBE" w:rsidP="00C21496">
            <w:pPr>
              <w:pStyle w:val="Tabletext"/>
            </w:pPr>
            <w:r w:rsidRPr="00532B79">
              <w:t xml:space="preserve">EQ-5Da, </w:t>
            </w:r>
            <w:proofErr w:type="spellStart"/>
            <w:r w:rsidRPr="00532B79">
              <w:t>LPHb</w:t>
            </w:r>
            <w:proofErr w:type="spellEnd"/>
          </w:p>
        </w:tc>
        <w:tc>
          <w:tcPr>
            <w:tcW w:w="1984" w:type="dxa"/>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 ''''''''''' '''''''''''' '''''''''''''''''''''''''''''</w:t>
            </w:r>
          </w:p>
        </w:tc>
      </w:tr>
      <w:tr w:rsidR="00321DBE" w:rsidRPr="009F466A" w:rsidTr="00321DBE">
        <w:trPr>
          <w:trHeight w:val="726"/>
        </w:trPr>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Change in haemodynamic parameters from baseline:</w:t>
            </w:r>
          </w:p>
          <w:p w:rsidR="00321DBE" w:rsidRPr="00532B79" w:rsidRDefault="00321DBE" w:rsidP="00C21496">
            <w:pPr>
              <w:pStyle w:val="Tabletext"/>
            </w:pPr>
            <w:r w:rsidRPr="00532B79">
              <w:t>PVR</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PATENT-1 (riociguat) </w:t>
            </w:r>
          </w:p>
          <w:p w:rsidR="00321DBE" w:rsidRPr="00532B79" w:rsidRDefault="00321DBE" w:rsidP="00C21496">
            <w:pPr>
              <w:pStyle w:val="Tabletext"/>
            </w:pPr>
            <w:r w:rsidRPr="00532B79">
              <w:t>N=107</w:t>
            </w:r>
          </w:p>
        </w:tc>
        <w:tc>
          <w:tcPr>
            <w:tcW w:w="6095"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A765F3" w:rsidRDefault="00A765F3" w:rsidP="00C21496">
            <w:pPr>
              <w:pStyle w:val="Tabletext"/>
              <w:rPr>
                <w:highlight w:val="black"/>
              </w:rPr>
            </w:pPr>
            <w:r>
              <w:rPr>
                <w:noProof/>
                <w:color w:val="000000"/>
                <w:highlight w:val="black"/>
              </w:rPr>
              <w:t>''''''''''''''''''''' '''''''''''''''' '''' ''''''''' '''''''''''''''''''''' '''''''''' ''' '''''''''''' '''''''''''''' ''''''''''''''''''''''''''''''''' '''' ''''''''''' ''''''''''' ''''''''''' '''''''''''''' '''''''''''''''' ''' ''''''''''''''''' ''''''''''' ''' '''''''''''''''' '''''''''''''''''''''''''''''' ''''''''' ''' ''''''''''''''''''''' ''''''''''''''''''''''' '''''''''''''''''''''''''''</w:t>
            </w:r>
          </w:p>
        </w:tc>
      </w:tr>
    </w:tbl>
    <w:p w:rsidR="00321DBE" w:rsidRPr="00532B79" w:rsidRDefault="00321DBE" w:rsidP="00C21496">
      <w:pPr>
        <w:pStyle w:val="Tablenote"/>
        <w:jc w:val="left"/>
      </w:pPr>
      <w:proofErr w:type="gramStart"/>
      <w:r w:rsidRPr="00532B79">
        <w:t>a</w:t>
      </w:r>
      <w:proofErr w:type="gramEnd"/>
      <w:r w:rsidRPr="00532B79">
        <w:t xml:space="preserve"> EQ-5D utility scores range from −0.59 to 1.00. A higher score represents better QoL.</w:t>
      </w:r>
    </w:p>
    <w:p w:rsidR="00321DBE" w:rsidRPr="00532B79" w:rsidRDefault="00321DBE" w:rsidP="00C21496">
      <w:pPr>
        <w:pStyle w:val="Tablenote"/>
        <w:jc w:val="left"/>
      </w:pPr>
      <w:proofErr w:type="gramStart"/>
      <w:r w:rsidRPr="00532B79">
        <w:t>b</w:t>
      </w:r>
      <w:proofErr w:type="gramEnd"/>
      <w:r w:rsidRPr="00532B79">
        <w:t xml:space="preserve"> LPH total scores range from 0 to 105. A higher score indicates poorer QoL.</w:t>
      </w:r>
    </w:p>
    <w:p w:rsidR="00321DBE" w:rsidRPr="00532B79" w:rsidRDefault="00321DBE" w:rsidP="00C21496">
      <w:pPr>
        <w:pStyle w:val="Tablenote"/>
        <w:jc w:val="left"/>
      </w:pPr>
      <w:r w:rsidRPr="00532B79">
        <w:t xml:space="preserve">6MWD = 6-minute walk distance; ARD = absolute risk difference; CI = confidence interval; EQ-5D = </w:t>
      </w:r>
      <w:proofErr w:type="spellStart"/>
      <w:r w:rsidRPr="00532B79">
        <w:t>EuroQol</w:t>
      </w:r>
      <w:proofErr w:type="spellEnd"/>
      <w:r w:rsidRPr="00532B79">
        <w:t xml:space="preserve"> 5dimension; ERA = endothelin receptor antagonist; FC = functional class; GRADE = grading of recommendations assessment, development and evaluation1; LPH = living with pulmonary hypertension; MD = mean difference; PVR = pulmonary vascular resistance; QoL = quality of life; RR = relative risk; sGC = soluble guanylate cyclase; WHO = World Health Organization</w:t>
      </w:r>
    </w:p>
    <w:p w:rsidR="0016033A" w:rsidRPr="0016033A" w:rsidRDefault="0016033A" w:rsidP="00C21496">
      <w:pPr>
        <w:pStyle w:val="Heading5"/>
        <w:keepLines w:val="0"/>
        <w:numPr>
          <w:ilvl w:val="0"/>
          <w:numId w:val="0"/>
        </w:numPr>
        <w:spacing w:before="240"/>
        <w:jc w:val="left"/>
        <w:rPr>
          <w:color w:val="auto"/>
          <w:u w:val="single"/>
        </w:rPr>
      </w:pPr>
      <w:r w:rsidRPr="0016033A">
        <w:rPr>
          <w:color w:val="auto"/>
          <w:u w:val="single"/>
        </w:rPr>
        <w:t>Safety</w:t>
      </w:r>
    </w:p>
    <w:p w:rsidR="00321DBE" w:rsidRPr="009F466A" w:rsidRDefault="00321DBE" w:rsidP="00C21496">
      <w:pPr>
        <w:jc w:val="left"/>
      </w:pPr>
      <w:r w:rsidRPr="009F466A">
        <w:t>There was no evidence available to evaluate the comparative safety of a sGC stimulator versus placebo when used to treat patients with WHO FC I/II PAH.</w:t>
      </w:r>
    </w:p>
    <w:p w:rsidR="00532B79" w:rsidRPr="00D228A6" w:rsidRDefault="00532B79" w:rsidP="00C21496">
      <w:pPr>
        <w:pStyle w:val="ToRText"/>
        <w:shd w:val="clear" w:color="auto" w:fill="F2F2F2" w:themeFill="background1" w:themeFillShade="F2"/>
        <w:rPr>
          <w:b w:val="0"/>
          <w:color w:val="auto"/>
        </w:rPr>
      </w:pPr>
      <w:bookmarkStart w:id="69" w:name="_Toc508396549"/>
      <w:r w:rsidRPr="00532B79">
        <w:rPr>
          <w:b w:val="0"/>
          <w:color w:val="auto"/>
          <w:shd w:val="clear" w:color="auto" w:fill="F2F2F2" w:themeFill="background1" w:themeFillShade="F2"/>
        </w:rPr>
        <w:lastRenderedPageBreak/>
        <w:t>Q2.</w:t>
      </w:r>
      <w:r w:rsidRPr="00532B79">
        <w:rPr>
          <w:b w:val="0"/>
          <w:color w:val="auto"/>
          <w:shd w:val="clear" w:color="auto" w:fill="F2F2F2" w:themeFill="background1" w:themeFillShade="F2"/>
        </w:rPr>
        <w:tab/>
        <w:t>What is the new evidence concerning the effectiveness and safety of monotherapy with a PAH medicine, compared to the main comparator accepted by the PBAC, in patients with WHO FC III or IV PAH, that has not previously been considered by the PBAC?</w:t>
      </w:r>
    </w:p>
    <w:p w:rsidR="00321DBE" w:rsidRPr="009F466A" w:rsidRDefault="00321DBE" w:rsidP="00C21496">
      <w:pPr>
        <w:pStyle w:val="Heading3"/>
        <w:jc w:val="left"/>
      </w:pPr>
      <w:bookmarkStart w:id="70" w:name="_Toc513110248"/>
      <w:r w:rsidRPr="009F466A">
        <w:t>Evidence of effectiveness and safety of monotherapy in WHO FC III or IV PAH not previously considered by the PBAC</w:t>
      </w:r>
      <w:bookmarkEnd w:id="69"/>
      <w:bookmarkEnd w:id="70"/>
    </w:p>
    <w:p w:rsidR="00321DBE" w:rsidRPr="009F466A" w:rsidRDefault="00321DBE" w:rsidP="00C21496">
      <w:pPr>
        <w:jc w:val="left"/>
      </w:pPr>
      <w:r w:rsidRPr="009F466A">
        <w:t xml:space="preserve">There was no new evidence concerning the effectiveness or safety of monotherapy with a PAH medicine, compared to the main comparator accepted by the PBAC, in patients with WHO FC III or IV PAH. </w:t>
      </w:r>
      <w:r w:rsidRPr="005E71F8">
        <w:t>The evidentiary basis for PBAC’s positive recommendation of the listing of these PAH medicines is summarised in</w:t>
      </w:r>
      <w:r w:rsidR="005E71F8">
        <w:t xml:space="preserve"> </w:t>
      </w:r>
      <w:r w:rsidR="00CC79E1">
        <w:t>Table ES.</w:t>
      </w:r>
      <w:r w:rsidR="00CC79E1">
        <w:rPr>
          <w:noProof/>
        </w:rPr>
        <w:t>8</w:t>
      </w:r>
      <w:r w:rsidRPr="005E71F8">
        <w:t xml:space="preserve">. </w:t>
      </w:r>
    </w:p>
    <w:p w:rsidR="00321DBE" w:rsidRPr="009F466A" w:rsidRDefault="00E30026" w:rsidP="00C21496">
      <w:pPr>
        <w:pStyle w:val="Caption"/>
        <w:jc w:val="left"/>
        <w:rPr>
          <w:rFonts w:cs="Arial"/>
          <w:i/>
          <w:snapToGrid w:val="0"/>
        </w:rPr>
      </w:pPr>
      <w:bookmarkStart w:id="71" w:name="_Ref511118761"/>
      <w:bookmarkStart w:id="72" w:name="_Toc513108452"/>
      <w:r>
        <w:t>Table ES.</w:t>
      </w:r>
      <w:r w:rsidR="00CC79E1">
        <w:rPr>
          <w:noProof/>
        </w:rPr>
        <w:t>8</w:t>
      </w:r>
      <w:bookmarkEnd w:id="71"/>
      <w:r>
        <w:tab/>
      </w:r>
      <w:r w:rsidRPr="009F466A">
        <w:t>Summary of evidence for monotherapy in patients with PAH in WHO FC III or IV</w:t>
      </w:r>
      <w:bookmarkEnd w:id="72"/>
    </w:p>
    <w:tbl>
      <w:tblPr>
        <w:tblStyle w:val="TableGrid"/>
        <w:tblW w:w="9634" w:type="dxa"/>
        <w:tblLayout w:type="fixed"/>
        <w:tblLook w:val="04A0" w:firstRow="1" w:lastRow="0" w:firstColumn="1" w:lastColumn="0" w:noHBand="0" w:noVBand="1"/>
        <w:tblCaption w:val="Summary of evidence for monotherapy in patients with PAH in WHO FC III or IV"/>
      </w:tblPr>
      <w:tblGrid>
        <w:gridCol w:w="1242"/>
        <w:gridCol w:w="1418"/>
        <w:gridCol w:w="2268"/>
        <w:gridCol w:w="1446"/>
        <w:gridCol w:w="3260"/>
      </w:tblGrid>
      <w:tr w:rsidR="00321DBE" w:rsidRPr="009F466A" w:rsidTr="00FF6202">
        <w:trPr>
          <w:tblHeader/>
        </w:trPr>
        <w:tc>
          <w:tcPr>
            <w:tcW w:w="1242" w:type="dxa"/>
            <w:tcBorders>
              <w:bottom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PBAC meeting</w:t>
            </w:r>
          </w:p>
        </w:tc>
        <w:tc>
          <w:tcPr>
            <w:tcW w:w="1418" w:type="dxa"/>
            <w:tcBorders>
              <w:bottom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PBS restrictions</w:t>
            </w:r>
          </w:p>
        </w:tc>
        <w:tc>
          <w:tcPr>
            <w:tcW w:w="2268" w:type="dxa"/>
            <w:tcBorders>
              <w:bottom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Head-to-head trials / Indirect comparison</w:t>
            </w:r>
          </w:p>
        </w:tc>
        <w:tc>
          <w:tcPr>
            <w:tcW w:w="1446" w:type="dxa"/>
            <w:tcBorders>
              <w:bottom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Comparison</w:t>
            </w:r>
          </w:p>
        </w:tc>
        <w:tc>
          <w:tcPr>
            <w:tcW w:w="3260" w:type="dxa"/>
            <w:tcBorders>
              <w:bottom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9F466A">
        <w:tc>
          <w:tcPr>
            <w:tcW w:w="2660" w:type="dxa"/>
            <w:gridSpan w:val="2"/>
            <w:shd w:val="clear" w:color="auto" w:fill="000000" w:themeFill="text1"/>
          </w:tcPr>
          <w:p w:rsidR="00321DBE" w:rsidRPr="009F466A" w:rsidRDefault="00321DBE" w:rsidP="00C21496">
            <w:pPr>
              <w:pStyle w:val="Tabletext"/>
              <w:rPr>
                <w:color w:val="FFFFFF" w:themeColor="background1"/>
              </w:rPr>
            </w:pPr>
            <w:r w:rsidRPr="009F466A">
              <w:rPr>
                <w:color w:val="FFFFFF" w:themeColor="background1"/>
              </w:rPr>
              <w:t>Bosentan</w:t>
            </w:r>
          </w:p>
        </w:tc>
        <w:tc>
          <w:tcPr>
            <w:tcW w:w="2268" w:type="dxa"/>
            <w:shd w:val="clear" w:color="auto" w:fill="000000" w:themeFill="text1"/>
          </w:tcPr>
          <w:p w:rsidR="00321DBE" w:rsidRPr="009F466A" w:rsidRDefault="00321DBE" w:rsidP="00C21496">
            <w:pPr>
              <w:pStyle w:val="Tabletext"/>
              <w:rPr>
                <w:color w:val="FFFFFF" w:themeColor="background1"/>
              </w:rPr>
            </w:pPr>
          </w:p>
        </w:tc>
        <w:tc>
          <w:tcPr>
            <w:tcW w:w="1446" w:type="dxa"/>
            <w:shd w:val="clear" w:color="auto" w:fill="000000" w:themeFill="text1"/>
          </w:tcPr>
          <w:p w:rsidR="00321DBE" w:rsidRPr="009F466A" w:rsidRDefault="00321DBE" w:rsidP="00C21496">
            <w:pPr>
              <w:pStyle w:val="Tabletext"/>
              <w:rPr>
                <w:color w:val="FFFFFF" w:themeColor="background1"/>
              </w:rPr>
            </w:pPr>
          </w:p>
        </w:tc>
        <w:tc>
          <w:tcPr>
            <w:tcW w:w="3260" w:type="dxa"/>
            <w:shd w:val="clear" w:color="auto" w:fill="000000" w:themeFill="text1"/>
          </w:tcPr>
          <w:p w:rsidR="00321DBE" w:rsidRPr="009F466A" w:rsidRDefault="00321DBE" w:rsidP="00C21496">
            <w:pPr>
              <w:pStyle w:val="Tabletext"/>
              <w:rPr>
                <w:color w:val="FFFFFF" w:themeColor="background1"/>
              </w:rPr>
            </w:pPr>
          </w:p>
        </w:tc>
      </w:tr>
      <w:tr w:rsidR="00321DBE" w:rsidRPr="009F466A" w:rsidTr="009F466A">
        <w:tc>
          <w:tcPr>
            <w:tcW w:w="1242" w:type="dxa"/>
          </w:tcPr>
          <w:p w:rsidR="00321DBE" w:rsidRPr="009F466A" w:rsidRDefault="00321DBE" w:rsidP="00C21496">
            <w:pPr>
              <w:pStyle w:val="Tabletext"/>
            </w:pPr>
            <w:r w:rsidRPr="009F466A">
              <w:t>December 2003</w:t>
            </w:r>
          </w:p>
        </w:tc>
        <w:tc>
          <w:tcPr>
            <w:tcW w:w="1418" w:type="dxa"/>
          </w:tcPr>
          <w:p w:rsidR="00321DBE" w:rsidRPr="009F466A" w:rsidRDefault="00321DBE" w:rsidP="00C21496">
            <w:pPr>
              <w:pStyle w:val="Tabletext"/>
              <w:rPr>
                <w:highlight w:val="cyan"/>
              </w:rPr>
            </w:pPr>
            <w:r w:rsidRPr="009F466A">
              <w:t>WHO FC III/IV IPAH and PAH associated with scleroderma</w:t>
            </w:r>
          </w:p>
        </w:tc>
        <w:tc>
          <w:tcPr>
            <w:tcW w:w="2268" w:type="dxa"/>
          </w:tcPr>
          <w:p w:rsidR="00321DBE" w:rsidRPr="00A765F3" w:rsidRDefault="00A765F3" w:rsidP="00C21496">
            <w:pPr>
              <w:pStyle w:val="Tabletext"/>
              <w:rPr>
                <w:highlight w:val="black"/>
              </w:rPr>
            </w:pPr>
            <w:r>
              <w:rPr>
                <w:noProof/>
                <w:color w:val="000000"/>
                <w:highlight w:val="black"/>
              </w:rPr>
              <w:t>''' '''''''''''''''''''''''''''''''''' ''''''''''''' '''''''''''''''''''''''' ''''''''''''''''''''' ''''''''''' '''''''''''''''''''''</w:t>
            </w:r>
          </w:p>
          <w:p w:rsidR="00321DBE" w:rsidRPr="00A765F3" w:rsidRDefault="00A765F3" w:rsidP="00C21496">
            <w:pPr>
              <w:pStyle w:val="Tabletext"/>
              <w:rPr>
                <w:highlight w:val="black"/>
              </w:rPr>
            </w:pPr>
            <w:r>
              <w:rPr>
                <w:noProof/>
                <w:color w:val="000000"/>
                <w:highlight w:val="black"/>
              </w:rPr>
              <w:t xml:space="preserve">''''''''''''''''''''''''''''' </w:t>
            </w:r>
          </w:p>
          <w:p w:rsidR="00321DBE" w:rsidRPr="00A765F3" w:rsidRDefault="00A765F3" w:rsidP="00C21496">
            <w:pPr>
              <w:pStyle w:val="Tabletext"/>
              <w:rPr>
                <w:highlight w:val="black"/>
                <w:u w:val="single"/>
              </w:rPr>
            </w:pPr>
            <w:r>
              <w:rPr>
                <w:noProof/>
                <w:color w:val="000000"/>
                <w:highlight w:val="black"/>
              </w:rPr>
              <w:t>''''''''''''''''''''''''''''''''</w:t>
            </w:r>
          </w:p>
        </w:tc>
        <w:tc>
          <w:tcPr>
            <w:tcW w:w="1446" w:type="dxa"/>
          </w:tcPr>
          <w:p w:rsidR="00321DBE" w:rsidRPr="00A765F3" w:rsidRDefault="00A765F3" w:rsidP="00C21496">
            <w:pPr>
              <w:pStyle w:val="Tabletext"/>
              <w:rPr>
                <w:highlight w:val="black"/>
              </w:rPr>
            </w:pPr>
            <w:r>
              <w:rPr>
                <w:noProof/>
                <w:color w:val="000000"/>
                <w:highlight w:val="black"/>
              </w:rPr>
              <w:t>''''''''''''''''''''' '''''' ''''''''''''''''''''</w:t>
            </w:r>
          </w:p>
        </w:tc>
        <w:tc>
          <w:tcPr>
            <w:tcW w:w="3260" w:type="dxa"/>
          </w:tcPr>
          <w:p w:rsidR="00321DBE" w:rsidRPr="00A765F3" w:rsidRDefault="00A765F3" w:rsidP="00C21496">
            <w:pPr>
              <w:pStyle w:val="Tabletext"/>
              <w:rPr>
                <w:highlight w:val="black"/>
              </w:rPr>
            </w:pPr>
            <w:r>
              <w:rPr>
                <w:noProof/>
                <w:color w:val="000000"/>
                <w:highlight w:val="black"/>
              </w:rPr>
              <w:t>'''''''''''''''''''''''' ''''''''''' ''''''''''''''''''''' ''''' '''''''''''' ''''' '''''''''''''''''''''' ''''''''''''''''''''''''''''' ''''''''''''''' '''''' ''''''''''''''''''''''' ''''''''''''''''''' ''''''''''''''''' '''''''''' ''''''''''''''''''''' '''''''''''''''''''''''' '''''''''''''</w:t>
            </w:r>
          </w:p>
          <w:p w:rsidR="00321DBE" w:rsidRPr="00A765F3" w:rsidRDefault="00A765F3" w:rsidP="00C21496">
            <w:pPr>
              <w:pStyle w:val="Tabletext"/>
              <w:rPr>
                <w:highlight w:val="black"/>
              </w:rPr>
            </w:pPr>
            <w:r>
              <w:rPr>
                <w:noProof/>
                <w:color w:val="000000"/>
                <w:highlight w:val="black"/>
              </w:rPr>
              <w:t>''''''''''''''''''''''''''' '''''''''''''''''''''''' ''''''''''''''''''''''''' ''''''' ''''''''''''''''' '''''''''''''''' '''''''''''''''''''''' '''''''''' '''''''''''''''''''''</w:t>
            </w: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March 2008</w:t>
            </w:r>
          </w:p>
        </w:tc>
        <w:tc>
          <w:tcPr>
            <w:tcW w:w="1418" w:type="dxa"/>
            <w:tcBorders>
              <w:bottom w:val="single" w:sz="4" w:space="0" w:color="auto"/>
            </w:tcBorders>
          </w:tcPr>
          <w:p w:rsidR="00321DBE" w:rsidRPr="009F466A" w:rsidRDefault="00321DBE" w:rsidP="00C21496">
            <w:pPr>
              <w:pStyle w:val="Tabletext"/>
            </w:pPr>
            <w:r w:rsidRPr="009F466A">
              <w:t>WHO FC III/IV PAH-CHD</w:t>
            </w:r>
          </w:p>
        </w:tc>
        <w:tc>
          <w:tcPr>
            <w:tcW w:w="2268" w:type="dxa"/>
            <w:tcBorders>
              <w:bottom w:val="single" w:sz="4" w:space="0" w:color="auto"/>
            </w:tcBorders>
          </w:tcPr>
          <w:p w:rsidR="00321DBE" w:rsidRPr="009F466A" w:rsidRDefault="00321DBE" w:rsidP="00C21496">
            <w:pPr>
              <w:pStyle w:val="Tabletext"/>
            </w:pPr>
            <w:r w:rsidRPr="009F466A">
              <w:t>1 head-to-head RCT comparing bosentan with placebo:</w:t>
            </w:r>
          </w:p>
          <w:p w:rsidR="00321DBE" w:rsidRPr="009F466A" w:rsidRDefault="003B00E9" w:rsidP="00C21496">
            <w:pPr>
              <w:pStyle w:val="Tabletext"/>
              <w:rPr>
                <w:caps/>
                <w:color w:val="000000"/>
                <w:spacing w:val="5"/>
                <w:kern w:val="28"/>
                <w:u w:val="single"/>
              </w:rPr>
            </w:pPr>
            <w:r w:rsidRPr="009F466A">
              <w:t>BREATHE-5</w:t>
            </w:r>
          </w:p>
        </w:tc>
        <w:tc>
          <w:tcPr>
            <w:tcW w:w="1446" w:type="dxa"/>
            <w:tcBorders>
              <w:bottom w:val="single" w:sz="4" w:space="0" w:color="auto"/>
            </w:tcBorders>
          </w:tcPr>
          <w:p w:rsidR="00321DBE" w:rsidRPr="009F466A" w:rsidRDefault="00321DBE" w:rsidP="00C21496">
            <w:pPr>
              <w:pStyle w:val="Tabletext"/>
            </w:pPr>
            <w:r w:rsidRPr="009F466A">
              <w:t>Bosentan vs placebo</w:t>
            </w:r>
          </w:p>
        </w:tc>
        <w:tc>
          <w:tcPr>
            <w:tcW w:w="3260" w:type="dxa"/>
            <w:tcBorders>
              <w:bottom w:val="single" w:sz="4" w:space="0" w:color="auto"/>
            </w:tcBorders>
          </w:tcPr>
          <w:p w:rsidR="00321DBE" w:rsidRPr="009F466A" w:rsidRDefault="00321DBE" w:rsidP="00C21496">
            <w:pPr>
              <w:pStyle w:val="Tabletext"/>
            </w:pPr>
            <w:r w:rsidRPr="009F466A">
              <w:t xml:space="preserve">Bosentan was superior in terms of effectiveness but inferior in terms of safety, compared with placebo </w:t>
            </w:r>
          </w:p>
          <w:p w:rsidR="00321DBE" w:rsidRPr="009F466A" w:rsidRDefault="00321DBE" w:rsidP="00C21496">
            <w:pPr>
              <w:pStyle w:val="Tabletext"/>
            </w:pPr>
            <w:r w:rsidRPr="009F466A">
              <w:t xml:space="preserve">Bosentan was equivalent, in terms of comparative effectiveness and comparative safety in PAH-CHD, to other PBS-listed PAH aetiology groups, </w:t>
            </w:r>
            <w:proofErr w:type="spellStart"/>
            <w:r w:rsidRPr="009F466A">
              <w:t>eg</w:t>
            </w:r>
            <w:proofErr w:type="spellEnd"/>
            <w:r w:rsidRPr="009F466A">
              <w:t xml:space="preserve"> IPAH and PAH-CTD</w:t>
            </w:r>
          </w:p>
        </w:tc>
      </w:tr>
      <w:tr w:rsidR="00321DBE" w:rsidRPr="009F466A" w:rsidTr="009F466A">
        <w:tc>
          <w:tcPr>
            <w:tcW w:w="2660" w:type="dxa"/>
            <w:gridSpan w:val="2"/>
            <w:shd w:val="clear" w:color="auto" w:fill="000000" w:themeFill="text1"/>
          </w:tcPr>
          <w:p w:rsidR="00321DBE" w:rsidRPr="009F466A" w:rsidRDefault="00321DBE" w:rsidP="00C21496">
            <w:pPr>
              <w:pStyle w:val="Tabletext"/>
              <w:rPr>
                <w:color w:val="FFFFFF" w:themeColor="background1"/>
              </w:rPr>
            </w:pPr>
            <w:r w:rsidRPr="009F466A">
              <w:rPr>
                <w:color w:val="FFFFFF" w:themeColor="background1"/>
              </w:rPr>
              <w:t>Ambrisentan</w:t>
            </w:r>
          </w:p>
        </w:tc>
        <w:tc>
          <w:tcPr>
            <w:tcW w:w="2268" w:type="dxa"/>
            <w:shd w:val="clear" w:color="auto" w:fill="000000" w:themeFill="text1"/>
          </w:tcPr>
          <w:p w:rsidR="00321DBE" w:rsidRPr="009F466A" w:rsidRDefault="00321DBE" w:rsidP="00C21496">
            <w:pPr>
              <w:pStyle w:val="Tabletext"/>
              <w:rPr>
                <w:color w:val="FFFFFF" w:themeColor="background1"/>
              </w:rPr>
            </w:pPr>
          </w:p>
        </w:tc>
        <w:tc>
          <w:tcPr>
            <w:tcW w:w="1446" w:type="dxa"/>
            <w:shd w:val="clear" w:color="auto" w:fill="000000" w:themeFill="text1"/>
          </w:tcPr>
          <w:p w:rsidR="00321DBE" w:rsidRPr="009F466A" w:rsidRDefault="00321DBE" w:rsidP="00C21496">
            <w:pPr>
              <w:pStyle w:val="Tabletext"/>
              <w:rPr>
                <w:color w:val="FFFFFF" w:themeColor="background1"/>
              </w:rPr>
            </w:pPr>
          </w:p>
        </w:tc>
        <w:tc>
          <w:tcPr>
            <w:tcW w:w="3260" w:type="dxa"/>
            <w:shd w:val="clear" w:color="auto" w:fill="000000" w:themeFill="text1"/>
          </w:tcPr>
          <w:p w:rsidR="00321DBE" w:rsidRPr="009F466A" w:rsidRDefault="00321DBE" w:rsidP="00C21496">
            <w:pPr>
              <w:pStyle w:val="Tabletext"/>
              <w:rPr>
                <w:color w:val="FFFFFF" w:themeColor="background1"/>
              </w:rPr>
            </w:pP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July 2009</w:t>
            </w:r>
          </w:p>
        </w:tc>
        <w:tc>
          <w:tcPr>
            <w:tcW w:w="1418" w:type="dxa"/>
            <w:tcBorders>
              <w:bottom w:val="single" w:sz="4" w:space="0" w:color="auto"/>
            </w:tcBorders>
          </w:tcPr>
          <w:p w:rsidR="00321DBE" w:rsidRPr="009F466A" w:rsidRDefault="00321DBE" w:rsidP="00C21496">
            <w:pPr>
              <w:pStyle w:val="Tabletext"/>
            </w:pPr>
            <w:r w:rsidRPr="009F466A">
              <w:t>WHO FC III/IV IPAH and PAH-CTD</w:t>
            </w:r>
          </w:p>
        </w:tc>
        <w:tc>
          <w:tcPr>
            <w:tcW w:w="2268" w:type="dxa"/>
            <w:tcBorders>
              <w:bottom w:val="single" w:sz="4" w:space="0" w:color="auto"/>
            </w:tcBorders>
          </w:tcPr>
          <w:p w:rsidR="00321DBE" w:rsidRPr="009F466A" w:rsidRDefault="00321DBE" w:rsidP="00C21496">
            <w:pPr>
              <w:pStyle w:val="Tabletext"/>
            </w:pPr>
            <w:r w:rsidRPr="009F466A">
              <w:t>Indirect comparison of 2 RCTs comparing ambrisentan with placebo:</w:t>
            </w:r>
          </w:p>
          <w:p w:rsidR="00321DBE" w:rsidRPr="009F466A" w:rsidRDefault="00321DBE" w:rsidP="00C21496">
            <w:pPr>
              <w:pStyle w:val="Tabletext"/>
            </w:pPr>
            <w:r w:rsidRPr="009F466A">
              <w:t xml:space="preserve">ARIES-1 </w:t>
            </w:r>
            <w:r w:rsidRPr="009F466A">
              <w:rPr>
                <w:noProof/>
                <w:vertAlign w:val="superscript"/>
              </w:rPr>
              <w:t>6</w:t>
            </w:r>
            <w:r w:rsidRPr="009F466A">
              <w:t>(WHO FC III/IV subgroup)</w:t>
            </w:r>
          </w:p>
          <w:p w:rsidR="00321DBE" w:rsidRPr="009F466A" w:rsidRDefault="00321DBE" w:rsidP="00C21496">
            <w:pPr>
              <w:pStyle w:val="Tabletext"/>
            </w:pPr>
            <w:r w:rsidRPr="009F466A">
              <w:t>ARIES-2  (WHO FC III/IV subgroup)</w:t>
            </w:r>
          </w:p>
          <w:p w:rsidR="00321DBE" w:rsidRPr="009F466A" w:rsidRDefault="00321DBE" w:rsidP="00C21496">
            <w:pPr>
              <w:pStyle w:val="Tabletext"/>
            </w:pPr>
            <w:r w:rsidRPr="009F466A">
              <w:t>with 2 RCTs comparing bosentan with placebo:</w:t>
            </w:r>
          </w:p>
          <w:p w:rsidR="00321DBE" w:rsidRPr="009F466A" w:rsidRDefault="003B00E9" w:rsidP="00C21496">
            <w:pPr>
              <w:pStyle w:val="Tabletext"/>
            </w:pPr>
            <w:r w:rsidRPr="009F466A">
              <w:t>BREATHE-1</w:t>
            </w:r>
          </w:p>
          <w:p w:rsidR="00321DBE" w:rsidRPr="009F466A" w:rsidRDefault="003B00E9" w:rsidP="00C21496">
            <w:pPr>
              <w:pStyle w:val="Tabletext"/>
              <w:rPr>
                <w:caps/>
                <w:color w:val="000000"/>
                <w:spacing w:val="5"/>
                <w:kern w:val="28"/>
                <w:u w:val="single"/>
              </w:rPr>
            </w:pPr>
            <w:r w:rsidRPr="009F466A">
              <w:t>AC-052-351</w:t>
            </w:r>
          </w:p>
          <w:p w:rsidR="00321DBE" w:rsidRPr="009F466A" w:rsidRDefault="00321DBE" w:rsidP="00C21496">
            <w:pPr>
              <w:pStyle w:val="Tabletext"/>
              <w:rPr>
                <w:caps/>
                <w:color w:val="000000"/>
                <w:spacing w:val="5"/>
                <w:kern w:val="28"/>
                <w:u w:val="single"/>
              </w:rPr>
            </w:pPr>
            <w:r w:rsidRPr="009F466A">
              <w:t>via placebo as the common reference</w:t>
            </w:r>
          </w:p>
        </w:tc>
        <w:tc>
          <w:tcPr>
            <w:tcW w:w="1446" w:type="dxa"/>
            <w:tcBorders>
              <w:bottom w:val="single" w:sz="4" w:space="0" w:color="auto"/>
            </w:tcBorders>
          </w:tcPr>
          <w:p w:rsidR="00321DBE" w:rsidRPr="009F466A" w:rsidRDefault="00321DBE" w:rsidP="00C21496">
            <w:pPr>
              <w:pStyle w:val="Tabletext"/>
            </w:pPr>
            <w:r w:rsidRPr="009F466A">
              <w:t>Ambrisentan vs bosentan</w:t>
            </w:r>
          </w:p>
        </w:tc>
        <w:tc>
          <w:tcPr>
            <w:tcW w:w="3260" w:type="dxa"/>
            <w:tcBorders>
              <w:bottom w:val="single" w:sz="4" w:space="0" w:color="auto"/>
            </w:tcBorders>
          </w:tcPr>
          <w:p w:rsidR="00321DBE" w:rsidRPr="009F466A" w:rsidRDefault="00321DBE" w:rsidP="00C21496">
            <w:pPr>
              <w:pStyle w:val="Tabletext"/>
            </w:pPr>
            <w:r w:rsidRPr="009F466A">
              <w:t>Ambrisentan was non-inferior to bosentan in terms of change in 6MWD.</w:t>
            </w:r>
          </w:p>
          <w:p w:rsidR="00321DBE" w:rsidRPr="009F466A" w:rsidRDefault="00321DBE" w:rsidP="00C21496">
            <w:pPr>
              <w:pStyle w:val="Tabletext"/>
            </w:pPr>
            <w:r w:rsidRPr="009F466A">
              <w:t>There was no statistically significant difference between ambrisentan and bosentan with respect to change in BDI, WHO FC and clinical worsening</w:t>
            </w:r>
          </w:p>
          <w:p w:rsidR="00321DBE" w:rsidRPr="009F466A" w:rsidRDefault="00321DBE" w:rsidP="00C21496">
            <w:pPr>
              <w:pStyle w:val="Tabletext"/>
            </w:pPr>
            <w:r w:rsidRPr="009F466A">
              <w:t>The toxicity of ambrisentan appeared non-inferior to bosentan</w:t>
            </w:r>
          </w:p>
        </w:tc>
      </w:tr>
    </w:tbl>
    <w:p w:rsidR="00A601D3" w:rsidRDefault="00A601D3" w:rsidP="00C21496">
      <w:pPr>
        <w:jc w:val="left"/>
      </w:pPr>
      <w:r>
        <w:br w:type="page"/>
      </w:r>
    </w:p>
    <w:tbl>
      <w:tblPr>
        <w:tblStyle w:val="TableGrid"/>
        <w:tblW w:w="9634" w:type="dxa"/>
        <w:tblLayout w:type="fixed"/>
        <w:tblLook w:val="04A0" w:firstRow="1" w:lastRow="0" w:firstColumn="1" w:lastColumn="0" w:noHBand="0" w:noVBand="1"/>
        <w:tblCaption w:val="Summary of evidence for monotherapy in patients with PAH in WHO FC III or IV"/>
      </w:tblPr>
      <w:tblGrid>
        <w:gridCol w:w="1242"/>
        <w:gridCol w:w="1418"/>
        <w:gridCol w:w="2268"/>
        <w:gridCol w:w="1446"/>
        <w:gridCol w:w="3260"/>
      </w:tblGrid>
      <w:tr w:rsidR="00321DBE" w:rsidRPr="009F466A" w:rsidTr="00FF6202">
        <w:trPr>
          <w:tblHeader/>
        </w:trPr>
        <w:tc>
          <w:tcPr>
            <w:tcW w:w="2660" w:type="dxa"/>
            <w:gridSpan w:val="2"/>
            <w:shd w:val="clear" w:color="auto" w:fill="000000" w:themeFill="text1"/>
          </w:tcPr>
          <w:p w:rsidR="00321DBE" w:rsidRPr="009F466A" w:rsidRDefault="00321DBE" w:rsidP="00C21496">
            <w:pPr>
              <w:pStyle w:val="Tabletext"/>
              <w:rPr>
                <w:color w:val="FFFFFF" w:themeColor="background1"/>
              </w:rPr>
            </w:pPr>
            <w:r w:rsidRPr="009F466A">
              <w:rPr>
                <w:color w:val="FFFFFF" w:themeColor="background1"/>
              </w:rPr>
              <w:lastRenderedPageBreak/>
              <w:t>Macitentan</w:t>
            </w:r>
          </w:p>
        </w:tc>
        <w:tc>
          <w:tcPr>
            <w:tcW w:w="2268" w:type="dxa"/>
            <w:shd w:val="clear" w:color="auto" w:fill="000000" w:themeFill="text1"/>
          </w:tcPr>
          <w:p w:rsidR="00321DBE" w:rsidRPr="009F466A" w:rsidRDefault="00321DBE" w:rsidP="00C21496">
            <w:pPr>
              <w:pStyle w:val="Tabletext"/>
              <w:rPr>
                <w:color w:val="FFFFFF" w:themeColor="background1"/>
              </w:rPr>
            </w:pPr>
          </w:p>
        </w:tc>
        <w:tc>
          <w:tcPr>
            <w:tcW w:w="1446" w:type="dxa"/>
            <w:shd w:val="clear" w:color="auto" w:fill="000000" w:themeFill="text1"/>
          </w:tcPr>
          <w:p w:rsidR="00321DBE" w:rsidRPr="009F466A" w:rsidRDefault="00321DBE" w:rsidP="00C21496">
            <w:pPr>
              <w:pStyle w:val="Tabletext"/>
              <w:rPr>
                <w:color w:val="FFFFFF" w:themeColor="background1"/>
              </w:rPr>
            </w:pPr>
          </w:p>
        </w:tc>
        <w:tc>
          <w:tcPr>
            <w:tcW w:w="3260" w:type="dxa"/>
            <w:shd w:val="clear" w:color="auto" w:fill="000000" w:themeFill="text1"/>
          </w:tcPr>
          <w:p w:rsidR="00321DBE" w:rsidRPr="009F466A" w:rsidRDefault="00321DBE" w:rsidP="00C21496">
            <w:pPr>
              <w:pStyle w:val="Tabletext"/>
              <w:rPr>
                <w:color w:val="FFFFFF" w:themeColor="background1"/>
              </w:rPr>
            </w:pP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March 2014</w:t>
            </w:r>
          </w:p>
        </w:tc>
        <w:tc>
          <w:tcPr>
            <w:tcW w:w="1418" w:type="dxa"/>
            <w:tcBorders>
              <w:bottom w:val="single" w:sz="4" w:space="0" w:color="auto"/>
            </w:tcBorders>
          </w:tcPr>
          <w:p w:rsidR="00321DBE" w:rsidRPr="009F466A" w:rsidRDefault="00321DBE" w:rsidP="00C21496">
            <w:pPr>
              <w:pStyle w:val="Tabletext"/>
            </w:pPr>
            <w:r w:rsidRPr="009F466A">
              <w:t>WHO FC III/IV IPAH, PAH-CTD and PAH-CHD</w:t>
            </w:r>
          </w:p>
          <w:p w:rsidR="00321DBE" w:rsidRPr="009F466A" w:rsidRDefault="00321DBE" w:rsidP="00C21496">
            <w:pPr>
              <w:pStyle w:val="Tabletext"/>
            </w:pPr>
          </w:p>
        </w:tc>
        <w:tc>
          <w:tcPr>
            <w:tcW w:w="2268" w:type="dxa"/>
            <w:tcBorders>
              <w:bottom w:val="single" w:sz="4" w:space="0" w:color="auto"/>
            </w:tcBorders>
          </w:tcPr>
          <w:p w:rsidR="00321DBE" w:rsidRPr="009F466A" w:rsidRDefault="00321DBE" w:rsidP="00C21496">
            <w:pPr>
              <w:pStyle w:val="Tabletext"/>
            </w:pPr>
            <w:r w:rsidRPr="009F466A">
              <w:t xml:space="preserve">Indirect comparison of 1 RCT comparing macitentan with placebo: </w:t>
            </w:r>
          </w:p>
          <w:p w:rsidR="00321DBE" w:rsidRPr="009F466A" w:rsidRDefault="00321DBE" w:rsidP="00C21496">
            <w:pPr>
              <w:pStyle w:val="Tabletext"/>
            </w:pPr>
            <w:r w:rsidRPr="009F466A">
              <w:t xml:space="preserve">SERAPHIN </w:t>
            </w:r>
            <w:r w:rsidRPr="009F466A">
              <w:rPr>
                <w:noProof/>
                <w:vertAlign w:val="superscript"/>
              </w:rPr>
              <w:t>7</w:t>
            </w:r>
            <w:r w:rsidRPr="009F466A">
              <w:t xml:space="preserve"> (overall population (</w:t>
            </w:r>
            <w:proofErr w:type="spellStart"/>
            <w:r w:rsidRPr="009F466A">
              <w:t>ie</w:t>
            </w:r>
            <w:proofErr w:type="spellEnd"/>
            <w:r w:rsidRPr="009F466A">
              <w:t xml:space="preserve"> with or without background therapy consisting of other PAH medicines, regardless of WHO FC) and treatment-naïve WHO FC III/IV subgroup)</w:t>
            </w:r>
          </w:p>
          <w:p w:rsidR="00321DBE" w:rsidRPr="009F466A" w:rsidRDefault="00321DBE" w:rsidP="00C21496">
            <w:pPr>
              <w:pStyle w:val="Tabletext"/>
            </w:pPr>
            <w:r w:rsidRPr="009F466A">
              <w:t>with 4 RCTs comparing bosentan with placebo:</w:t>
            </w:r>
          </w:p>
          <w:p w:rsidR="00321DBE" w:rsidRPr="009F466A" w:rsidRDefault="003B00E9" w:rsidP="00C21496">
            <w:pPr>
              <w:pStyle w:val="Tabletext"/>
            </w:pPr>
            <w:r w:rsidRPr="009F466A">
              <w:t>BREATHE-1</w:t>
            </w:r>
          </w:p>
          <w:p w:rsidR="00321DBE" w:rsidRPr="009F466A" w:rsidRDefault="003B00E9" w:rsidP="00C21496">
            <w:pPr>
              <w:pStyle w:val="Tabletext"/>
            </w:pPr>
            <w:r w:rsidRPr="009F466A">
              <w:t>AC-052-351</w:t>
            </w:r>
          </w:p>
          <w:p w:rsidR="00321DBE" w:rsidRPr="009F466A" w:rsidRDefault="00321DBE" w:rsidP="00C21496">
            <w:pPr>
              <w:pStyle w:val="Tabletext"/>
            </w:pPr>
            <w:r w:rsidRPr="009F466A">
              <w:t xml:space="preserve">EARLY </w:t>
            </w:r>
          </w:p>
          <w:p w:rsidR="00321DBE" w:rsidRPr="009F466A" w:rsidRDefault="003B00E9" w:rsidP="00C21496">
            <w:pPr>
              <w:pStyle w:val="Tabletext"/>
              <w:rPr>
                <w:caps/>
                <w:color w:val="000000"/>
                <w:spacing w:val="5"/>
                <w:kern w:val="28"/>
                <w:u w:val="single"/>
              </w:rPr>
            </w:pPr>
            <w:r w:rsidRPr="009F466A">
              <w:t>STRIDE-2</w:t>
            </w:r>
          </w:p>
          <w:p w:rsidR="00321DBE" w:rsidRPr="009F466A" w:rsidRDefault="00321DBE" w:rsidP="00C21496">
            <w:pPr>
              <w:pStyle w:val="Tabletext"/>
            </w:pPr>
            <w:r w:rsidRPr="009F466A">
              <w:t>via placebo as the common reference</w:t>
            </w:r>
          </w:p>
        </w:tc>
        <w:tc>
          <w:tcPr>
            <w:tcW w:w="1446" w:type="dxa"/>
            <w:tcBorders>
              <w:bottom w:val="single" w:sz="4" w:space="0" w:color="auto"/>
            </w:tcBorders>
          </w:tcPr>
          <w:p w:rsidR="00321DBE" w:rsidRPr="009F466A" w:rsidRDefault="00321DBE" w:rsidP="00C21496">
            <w:pPr>
              <w:pStyle w:val="Tabletext"/>
            </w:pPr>
            <w:r w:rsidRPr="009F466A">
              <w:t>Macitentan vs bosentan</w:t>
            </w:r>
          </w:p>
          <w:p w:rsidR="00321DBE" w:rsidRPr="009F466A" w:rsidRDefault="00321DBE" w:rsidP="00C21496">
            <w:pPr>
              <w:pStyle w:val="Tabletext"/>
            </w:pPr>
          </w:p>
        </w:tc>
        <w:tc>
          <w:tcPr>
            <w:tcW w:w="3260" w:type="dxa"/>
            <w:tcBorders>
              <w:bottom w:val="single" w:sz="4" w:space="0" w:color="auto"/>
            </w:tcBorders>
          </w:tcPr>
          <w:p w:rsidR="00321DBE" w:rsidRPr="009F466A" w:rsidRDefault="00321DBE" w:rsidP="00C21496">
            <w:pPr>
              <w:pStyle w:val="Tabletext"/>
            </w:pPr>
            <w:r w:rsidRPr="009F466A">
              <w:t xml:space="preserve">Macitentan was non-inferior to bosentan in terms of improvement in 6MWD.  </w:t>
            </w:r>
          </w:p>
          <w:p w:rsidR="00321DBE" w:rsidRPr="009F466A" w:rsidRDefault="00321DBE" w:rsidP="00C21496">
            <w:pPr>
              <w:pStyle w:val="Tabletext"/>
            </w:pPr>
            <w:r w:rsidRPr="009F466A">
              <w:t xml:space="preserve">Macitentan was non-inferior in terms of safety when compared to bosentan. </w:t>
            </w:r>
          </w:p>
        </w:tc>
      </w:tr>
      <w:tr w:rsidR="00321DBE" w:rsidRPr="009F466A" w:rsidTr="009F466A">
        <w:tc>
          <w:tcPr>
            <w:tcW w:w="1242" w:type="dxa"/>
            <w:shd w:val="clear" w:color="auto" w:fill="000000" w:themeFill="text1"/>
          </w:tcPr>
          <w:p w:rsidR="00321DBE" w:rsidRPr="009F466A" w:rsidRDefault="00321DBE" w:rsidP="00C21496">
            <w:pPr>
              <w:pStyle w:val="Tabletext"/>
              <w:rPr>
                <w:color w:val="FFFFFF" w:themeColor="background1"/>
              </w:rPr>
            </w:pPr>
            <w:r w:rsidRPr="009F466A">
              <w:rPr>
                <w:color w:val="FFFFFF" w:themeColor="background1"/>
              </w:rPr>
              <w:t>Sildenafil</w:t>
            </w:r>
          </w:p>
        </w:tc>
        <w:tc>
          <w:tcPr>
            <w:tcW w:w="1418" w:type="dxa"/>
            <w:shd w:val="clear" w:color="auto" w:fill="000000" w:themeFill="text1"/>
          </w:tcPr>
          <w:p w:rsidR="00321DBE" w:rsidRPr="009F466A" w:rsidRDefault="00321DBE" w:rsidP="00C21496">
            <w:pPr>
              <w:pStyle w:val="Tabletext"/>
              <w:rPr>
                <w:color w:val="FFFFFF" w:themeColor="background1"/>
              </w:rPr>
            </w:pPr>
          </w:p>
        </w:tc>
        <w:tc>
          <w:tcPr>
            <w:tcW w:w="2268" w:type="dxa"/>
            <w:shd w:val="clear" w:color="auto" w:fill="000000" w:themeFill="text1"/>
          </w:tcPr>
          <w:p w:rsidR="00321DBE" w:rsidRPr="009F466A" w:rsidRDefault="00321DBE" w:rsidP="00C21496">
            <w:pPr>
              <w:pStyle w:val="Tabletext"/>
              <w:rPr>
                <w:color w:val="FFFFFF" w:themeColor="background1"/>
              </w:rPr>
            </w:pPr>
          </w:p>
        </w:tc>
        <w:tc>
          <w:tcPr>
            <w:tcW w:w="1446" w:type="dxa"/>
            <w:shd w:val="clear" w:color="auto" w:fill="000000" w:themeFill="text1"/>
          </w:tcPr>
          <w:p w:rsidR="00321DBE" w:rsidRPr="009F466A" w:rsidRDefault="00321DBE" w:rsidP="00C21496">
            <w:pPr>
              <w:pStyle w:val="Tabletext"/>
              <w:rPr>
                <w:color w:val="FFFFFF" w:themeColor="background1"/>
              </w:rPr>
            </w:pPr>
          </w:p>
        </w:tc>
        <w:tc>
          <w:tcPr>
            <w:tcW w:w="3260" w:type="dxa"/>
            <w:shd w:val="clear" w:color="auto" w:fill="000000" w:themeFill="text1"/>
          </w:tcPr>
          <w:p w:rsidR="00321DBE" w:rsidRPr="009F466A" w:rsidRDefault="00321DBE" w:rsidP="00C21496">
            <w:pPr>
              <w:pStyle w:val="Tabletext"/>
              <w:rPr>
                <w:color w:val="FFFFFF" w:themeColor="background1"/>
              </w:rPr>
            </w:pP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November 2006</w:t>
            </w:r>
          </w:p>
        </w:tc>
        <w:tc>
          <w:tcPr>
            <w:tcW w:w="1418" w:type="dxa"/>
            <w:tcBorders>
              <w:bottom w:val="single" w:sz="4" w:space="0" w:color="auto"/>
            </w:tcBorders>
          </w:tcPr>
          <w:p w:rsidR="00321DBE" w:rsidRPr="009F466A" w:rsidRDefault="00321DBE" w:rsidP="00C21496">
            <w:pPr>
              <w:pStyle w:val="Tabletext"/>
            </w:pPr>
            <w:r w:rsidRPr="009F466A">
              <w:t>WHO FC III IPAH and PAH-CTD</w:t>
            </w:r>
          </w:p>
        </w:tc>
        <w:tc>
          <w:tcPr>
            <w:tcW w:w="2268" w:type="dxa"/>
            <w:tcBorders>
              <w:bottom w:val="single" w:sz="4" w:space="0" w:color="auto"/>
            </w:tcBorders>
          </w:tcPr>
          <w:p w:rsidR="00321DBE" w:rsidRPr="009F466A" w:rsidRDefault="00321DBE" w:rsidP="00C21496">
            <w:pPr>
              <w:pStyle w:val="Tabletext"/>
            </w:pPr>
            <w:r w:rsidRPr="009F466A">
              <w:t xml:space="preserve">Indirect comparison of 1 RCT comparing sildenafil with placebo: </w:t>
            </w:r>
          </w:p>
          <w:p w:rsidR="00321DBE" w:rsidRPr="009F466A" w:rsidRDefault="003B00E9" w:rsidP="00C21496">
            <w:pPr>
              <w:pStyle w:val="Tabletext"/>
            </w:pPr>
            <w:r w:rsidRPr="009F466A">
              <w:t>SUPER-1</w:t>
            </w:r>
            <w:r w:rsidR="00321DBE" w:rsidRPr="009F466A">
              <w:t xml:space="preserve"> (overall population </w:t>
            </w:r>
            <w:proofErr w:type="spellStart"/>
            <w:r w:rsidR="00321DBE" w:rsidRPr="009F466A">
              <w:t>ie</w:t>
            </w:r>
            <w:proofErr w:type="spellEnd"/>
            <w:r w:rsidR="00321DBE" w:rsidRPr="009F466A">
              <w:t xml:space="preserve"> regardless of WHO FC, and WHO III subgroup)</w:t>
            </w:r>
          </w:p>
          <w:p w:rsidR="00321DBE" w:rsidRPr="009F466A" w:rsidRDefault="00321DBE" w:rsidP="00C21496">
            <w:pPr>
              <w:pStyle w:val="Tabletext"/>
            </w:pPr>
            <w:r w:rsidRPr="009F466A">
              <w:t>with 2 RCTs comparing bosentan with placebo:</w:t>
            </w:r>
          </w:p>
          <w:p w:rsidR="00321DBE" w:rsidRPr="009F466A" w:rsidRDefault="003B00E9" w:rsidP="00C21496">
            <w:pPr>
              <w:pStyle w:val="Tabletext"/>
            </w:pPr>
            <w:r w:rsidRPr="009F466A">
              <w:t>BREATHE-1</w:t>
            </w:r>
          </w:p>
          <w:p w:rsidR="00321DBE" w:rsidRPr="009F466A" w:rsidRDefault="003B00E9" w:rsidP="00C21496">
            <w:pPr>
              <w:pStyle w:val="Tabletext"/>
            </w:pPr>
            <w:r w:rsidRPr="009F466A">
              <w:t>AC-052-351</w:t>
            </w:r>
          </w:p>
          <w:p w:rsidR="00321DBE" w:rsidRPr="009F466A" w:rsidRDefault="00321DBE" w:rsidP="00C21496">
            <w:pPr>
              <w:pStyle w:val="Tabletext"/>
            </w:pPr>
            <w:r w:rsidRPr="009F466A">
              <w:t>via placebo as the common reference</w:t>
            </w:r>
          </w:p>
        </w:tc>
        <w:tc>
          <w:tcPr>
            <w:tcW w:w="1446" w:type="dxa"/>
            <w:tcBorders>
              <w:bottom w:val="single" w:sz="4" w:space="0" w:color="auto"/>
            </w:tcBorders>
          </w:tcPr>
          <w:p w:rsidR="00321DBE" w:rsidRPr="009F466A" w:rsidRDefault="00321DBE" w:rsidP="00C21496">
            <w:pPr>
              <w:pStyle w:val="Tabletext"/>
            </w:pPr>
            <w:r w:rsidRPr="009F466A">
              <w:t>Sildenafil vs bosentan</w:t>
            </w:r>
          </w:p>
        </w:tc>
        <w:tc>
          <w:tcPr>
            <w:tcW w:w="3260" w:type="dxa"/>
            <w:tcBorders>
              <w:bottom w:val="single" w:sz="4" w:space="0" w:color="auto"/>
            </w:tcBorders>
          </w:tcPr>
          <w:p w:rsidR="00321DBE" w:rsidRPr="009F466A" w:rsidRDefault="00321DBE" w:rsidP="00C21496">
            <w:pPr>
              <w:pStyle w:val="Tabletext"/>
            </w:pPr>
            <w:r w:rsidRPr="009F466A">
              <w:t>Sildenafil was non-inferior to bosentan in terms of improvement in 6MWD.</w:t>
            </w:r>
          </w:p>
          <w:p w:rsidR="00321DBE" w:rsidRPr="009F466A" w:rsidRDefault="00321DBE" w:rsidP="00C21496">
            <w:pPr>
              <w:pStyle w:val="Tabletext"/>
            </w:pPr>
            <w:r w:rsidRPr="009F466A">
              <w:t>Sildenafil was no worse than bosentan in terms of toxicity.</w:t>
            </w:r>
          </w:p>
        </w:tc>
      </w:tr>
      <w:tr w:rsidR="00321DBE" w:rsidRPr="009F466A" w:rsidTr="009F466A">
        <w:tc>
          <w:tcPr>
            <w:tcW w:w="1242" w:type="dxa"/>
            <w:shd w:val="clear" w:color="auto" w:fill="000000" w:themeFill="text1"/>
          </w:tcPr>
          <w:p w:rsidR="00321DBE" w:rsidRPr="009F466A" w:rsidRDefault="00321DBE" w:rsidP="00C21496">
            <w:pPr>
              <w:pStyle w:val="Tabletext"/>
              <w:rPr>
                <w:color w:val="FFFFFF" w:themeColor="background1"/>
              </w:rPr>
            </w:pPr>
            <w:r w:rsidRPr="009F466A">
              <w:rPr>
                <w:color w:val="FFFFFF" w:themeColor="background1"/>
              </w:rPr>
              <w:t>Tadalafil</w:t>
            </w:r>
          </w:p>
        </w:tc>
        <w:tc>
          <w:tcPr>
            <w:tcW w:w="1418" w:type="dxa"/>
            <w:shd w:val="clear" w:color="auto" w:fill="000000" w:themeFill="text1"/>
          </w:tcPr>
          <w:p w:rsidR="00321DBE" w:rsidRPr="009F466A" w:rsidRDefault="00321DBE" w:rsidP="00C21496">
            <w:pPr>
              <w:pStyle w:val="Tabletext"/>
              <w:rPr>
                <w:color w:val="FFFFFF" w:themeColor="background1"/>
              </w:rPr>
            </w:pPr>
          </w:p>
        </w:tc>
        <w:tc>
          <w:tcPr>
            <w:tcW w:w="2268" w:type="dxa"/>
            <w:shd w:val="clear" w:color="auto" w:fill="000000" w:themeFill="text1"/>
          </w:tcPr>
          <w:p w:rsidR="00321DBE" w:rsidRPr="009F466A" w:rsidRDefault="00321DBE" w:rsidP="00C21496">
            <w:pPr>
              <w:pStyle w:val="Tabletext"/>
              <w:rPr>
                <w:color w:val="FFFFFF" w:themeColor="background1"/>
              </w:rPr>
            </w:pPr>
          </w:p>
        </w:tc>
        <w:tc>
          <w:tcPr>
            <w:tcW w:w="1446" w:type="dxa"/>
            <w:shd w:val="clear" w:color="auto" w:fill="000000" w:themeFill="text1"/>
          </w:tcPr>
          <w:p w:rsidR="00321DBE" w:rsidRPr="009F466A" w:rsidRDefault="00321DBE" w:rsidP="00C21496">
            <w:pPr>
              <w:pStyle w:val="Tabletext"/>
              <w:rPr>
                <w:color w:val="FFFFFF" w:themeColor="background1"/>
              </w:rPr>
            </w:pPr>
          </w:p>
        </w:tc>
        <w:tc>
          <w:tcPr>
            <w:tcW w:w="3260" w:type="dxa"/>
            <w:shd w:val="clear" w:color="auto" w:fill="000000" w:themeFill="text1"/>
          </w:tcPr>
          <w:p w:rsidR="00321DBE" w:rsidRPr="009F466A" w:rsidRDefault="00321DBE" w:rsidP="00C21496">
            <w:pPr>
              <w:pStyle w:val="Tabletext"/>
              <w:rPr>
                <w:color w:val="FFFFFF" w:themeColor="background1"/>
              </w:rPr>
            </w:pP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November 2011</w:t>
            </w:r>
          </w:p>
        </w:tc>
        <w:tc>
          <w:tcPr>
            <w:tcW w:w="1418" w:type="dxa"/>
            <w:tcBorders>
              <w:bottom w:val="single" w:sz="4" w:space="0" w:color="auto"/>
            </w:tcBorders>
          </w:tcPr>
          <w:p w:rsidR="00321DBE" w:rsidRPr="009F466A" w:rsidRDefault="00321DBE" w:rsidP="00C21496">
            <w:pPr>
              <w:pStyle w:val="Tabletext"/>
            </w:pPr>
            <w:r w:rsidRPr="009F466A">
              <w:t>WHO FC III IPAH and PAH-CTD</w:t>
            </w:r>
          </w:p>
        </w:tc>
        <w:tc>
          <w:tcPr>
            <w:tcW w:w="2268" w:type="dxa"/>
            <w:tcBorders>
              <w:bottom w:val="single" w:sz="4" w:space="0" w:color="auto"/>
            </w:tcBorders>
          </w:tcPr>
          <w:p w:rsidR="00321DBE" w:rsidRPr="009F466A" w:rsidRDefault="00321DBE" w:rsidP="00C21496">
            <w:pPr>
              <w:pStyle w:val="Tabletext"/>
            </w:pPr>
            <w:r w:rsidRPr="009F466A">
              <w:t xml:space="preserve">Indirect comparison of 1 RCT comparing tadalafil with placebo: </w:t>
            </w:r>
          </w:p>
          <w:p w:rsidR="00321DBE" w:rsidRPr="009F466A" w:rsidRDefault="003B00E9" w:rsidP="00C21496">
            <w:pPr>
              <w:pStyle w:val="Tabletext"/>
            </w:pPr>
            <w:r w:rsidRPr="009F466A">
              <w:t>PHIRST</w:t>
            </w:r>
            <w:r w:rsidR="00321DBE" w:rsidRPr="009F466A">
              <w:t xml:space="preserve"> (subgroup of no background therapy)</w:t>
            </w:r>
          </w:p>
          <w:p w:rsidR="00321DBE" w:rsidRPr="009F466A" w:rsidRDefault="00321DBE" w:rsidP="00C21496">
            <w:pPr>
              <w:pStyle w:val="Tabletext"/>
            </w:pPr>
            <w:r w:rsidRPr="009F466A">
              <w:t>with 1 RCT comparing sildenafil with placebo:</w:t>
            </w:r>
          </w:p>
          <w:p w:rsidR="00321DBE" w:rsidRPr="009F466A" w:rsidRDefault="00321DBE" w:rsidP="00C21496">
            <w:pPr>
              <w:pStyle w:val="Tabletext"/>
            </w:pPr>
            <w:r w:rsidRPr="009F466A">
              <w:t>SUPE</w:t>
            </w:r>
            <w:r w:rsidR="003B00E9" w:rsidRPr="009F466A">
              <w:t>R-1</w:t>
            </w:r>
          </w:p>
          <w:p w:rsidR="00321DBE" w:rsidRPr="009F466A" w:rsidRDefault="00321DBE" w:rsidP="00C21496">
            <w:pPr>
              <w:pStyle w:val="Tabletext"/>
            </w:pPr>
            <w:r w:rsidRPr="009F466A">
              <w:t>via placebo as the common reference</w:t>
            </w:r>
          </w:p>
        </w:tc>
        <w:tc>
          <w:tcPr>
            <w:tcW w:w="1446" w:type="dxa"/>
            <w:tcBorders>
              <w:bottom w:val="single" w:sz="4" w:space="0" w:color="auto"/>
            </w:tcBorders>
          </w:tcPr>
          <w:p w:rsidR="00321DBE" w:rsidRPr="009F466A" w:rsidRDefault="00321DBE" w:rsidP="00C21496">
            <w:pPr>
              <w:pStyle w:val="Tabletext"/>
            </w:pPr>
            <w:r w:rsidRPr="009F466A">
              <w:t>Tadalafil vs sildenafil</w:t>
            </w:r>
          </w:p>
        </w:tc>
        <w:tc>
          <w:tcPr>
            <w:tcW w:w="3260" w:type="dxa"/>
            <w:tcBorders>
              <w:bottom w:val="single" w:sz="4" w:space="0" w:color="auto"/>
            </w:tcBorders>
          </w:tcPr>
          <w:p w:rsidR="00321DBE" w:rsidRPr="009F466A" w:rsidRDefault="00321DBE" w:rsidP="00C21496">
            <w:pPr>
              <w:pStyle w:val="Tabletext"/>
            </w:pPr>
            <w:r w:rsidRPr="009F466A">
              <w:t>Tadalafil was non-inferior to sildenafil in terms of improvement in 6MWD</w:t>
            </w:r>
          </w:p>
          <w:p w:rsidR="00321DBE" w:rsidRPr="009F466A" w:rsidRDefault="00321DBE" w:rsidP="00C21496">
            <w:pPr>
              <w:pStyle w:val="Tabletext"/>
            </w:pPr>
            <w:r w:rsidRPr="009F466A">
              <w:t>There were no statistically significant differences between tadalafil and sildenafil with respect to improvement in FC, clinical worsening and haemodynamic parameters.</w:t>
            </w:r>
          </w:p>
          <w:p w:rsidR="00321DBE" w:rsidRPr="009F466A" w:rsidRDefault="00321DBE" w:rsidP="00C21496">
            <w:pPr>
              <w:pStyle w:val="Tabletext"/>
            </w:pPr>
            <w:r w:rsidRPr="009F466A">
              <w:t xml:space="preserve">Tadalafil was non-inferior to sildenafil in terms of safety </w:t>
            </w:r>
          </w:p>
        </w:tc>
      </w:tr>
    </w:tbl>
    <w:p w:rsidR="00A601D3" w:rsidRDefault="00A601D3" w:rsidP="00C21496">
      <w:pPr>
        <w:jc w:val="left"/>
      </w:pPr>
      <w:r>
        <w:br w:type="page"/>
      </w:r>
    </w:p>
    <w:tbl>
      <w:tblPr>
        <w:tblStyle w:val="TableGrid"/>
        <w:tblW w:w="9634" w:type="dxa"/>
        <w:tblLayout w:type="fixed"/>
        <w:tblLook w:val="04A0" w:firstRow="1" w:lastRow="0" w:firstColumn="1" w:lastColumn="0" w:noHBand="0" w:noVBand="1"/>
        <w:tblCaption w:val="Summary of evidence for monotherapy in patients with PAH in WHO FC III or IV"/>
      </w:tblPr>
      <w:tblGrid>
        <w:gridCol w:w="1242"/>
        <w:gridCol w:w="1418"/>
        <w:gridCol w:w="2268"/>
        <w:gridCol w:w="1446"/>
        <w:gridCol w:w="3260"/>
      </w:tblGrid>
      <w:tr w:rsidR="00321DBE" w:rsidRPr="009F466A" w:rsidTr="00FF6202">
        <w:trPr>
          <w:tblHeader/>
        </w:trPr>
        <w:tc>
          <w:tcPr>
            <w:tcW w:w="1242" w:type="dxa"/>
            <w:shd w:val="clear" w:color="auto" w:fill="000000" w:themeFill="text1"/>
          </w:tcPr>
          <w:p w:rsidR="00321DBE" w:rsidRPr="009F466A" w:rsidRDefault="00321DBE" w:rsidP="00C21496">
            <w:pPr>
              <w:pStyle w:val="Tabletext"/>
            </w:pPr>
            <w:r w:rsidRPr="009F466A">
              <w:lastRenderedPageBreak/>
              <w:t>Iloprost</w:t>
            </w:r>
          </w:p>
        </w:tc>
        <w:tc>
          <w:tcPr>
            <w:tcW w:w="1418" w:type="dxa"/>
            <w:shd w:val="clear" w:color="auto" w:fill="000000" w:themeFill="text1"/>
          </w:tcPr>
          <w:p w:rsidR="00321DBE" w:rsidRPr="009F466A" w:rsidRDefault="00321DBE" w:rsidP="00C21496">
            <w:pPr>
              <w:pStyle w:val="Tabletext"/>
            </w:pPr>
          </w:p>
        </w:tc>
        <w:tc>
          <w:tcPr>
            <w:tcW w:w="2268" w:type="dxa"/>
            <w:shd w:val="clear" w:color="auto" w:fill="000000" w:themeFill="text1"/>
          </w:tcPr>
          <w:p w:rsidR="00321DBE" w:rsidRPr="009F466A" w:rsidRDefault="00321DBE" w:rsidP="00C21496">
            <w:pPr>
              <w:pStyle w:val="Tabletext"/>
            </w:pPr>
          </w:p>
        </w:tc>
        <w:tc>
          <w:tcPr>
            <w:tcW w:w="1446" w:type="dxa"/>
            <w:shd w:val="clear" w:color="auto" w:fill="000000" w:themeFill="text1"/>
          </w:tcPr>
          <w:p w:rsidR="00321DBE" w:rsidRPr="009F466A" w:rsidRDefault="00321DBE" w:rsidP="00C21496">
            <w:pPr>
              <w:pStyle w:val="Tabletext"/>
            </w:pPr>
          </w:p>
        </w:tc>
        <w:tc>
          <w:tcPr>
            <w:tcW w:w="3260" w:type="dxa"/>
            <w:shd w:val="clear" w:color="auto" w:fill="000000" w:themeFill="text1"/>
          </w:tcPr>
          <w:p w:rsidR="00321DBE" w:rsidRPr="009F466A" w:rsidRDefault="00321DBE" w:rsidP="00C21496">
            <w:pPr>
              <w:pStyle w:val="Tabletext"/>
            </w:pPr>
          </w:p>
        </w:tc>
      </w:tr>
      <w:tr w:rsidR="00321DBE" w:rsidRPr="009F466A" w:rsidTr="009F466A">
        <w:tc>
          <w:tcPr>
            <w:tcW w:w="1242" w:type="dxa"/>
            <w:tcBorders>
              <w:bottom w:val="single" w:sz="4" w:space="0" w:color="auto"/>
            </w:tcBorders>
          </w:tcPr>
          <w:p w:rsidR="00321DBE" w:rsidRPr="009F466A" w:rsidRDefault="00321DBE" w:rsidP="00C21496">
            <w:pPr>
              <w:pStyle w:val="Tabletext"/>
              <w:rPr>
                <w:snapToGrid w:val="0"/>
              </w:rPr>
            </w:pPr>
            <w:r w:rsidRPr="009F466A">
              <w:t>November 2004</w:t>
            </w:r>
          </w:p>
        </w:tc>
        <w:tc>
          <w:tcPr>
            <w:tcW w:w="1418" w:type="dxa"/>
            <w:tcBorders>
              <w:bottom w:val="single" w:sz="4" w:space="0" w:color="auto"/>
            </w:tcBorders>
          </w:tcPr>
          <w:p w:rsidR="00321DBE" w:rsidRPr="009F466A" w:rsidRDefault="00321DBE" w:rsidP="00C21496">
            <w:pPr>
              <w:pStyle w:val="Tabletext"/>
              <w:rPr>
                <w:highlight w:val="green"/>
              </w:rPr>
            </w:pPr>
            <w:r w:rsidRPr="009F466A">
              <w:t>WHO FC III/IV IPAH, PAH-CTD and drug-induced PAH</w:t>
            </w:r>
          </w:p>
        </w:tc>
        <w:tc>
          <w:tcPr>
            <w:tcW w:w="2268" w:type="dxa"/>
            <w:tcBorders>
              <w:bottom w:val="single" w:sz="4" w:space="0" w:color="auto"/>
            </w:tcBorders>
          </w:tcPr>
          <w:p w:rsidR="00321DBE" w:rsidRPr="00A765F3" w:rsidRDefault="00A765F3" w:rsidP="00C21496">
            <w:pPr>
              <w:pStyle w:val="Tabletext"/>
              <w:rPr>
                <w:highlight w:val="black"/>
              </w:rPr>
            </w:pPr>
            <w:r>
              <w:rPr>
                <w:noProof/>
                <w:color w:val="000000"/>
                <w:highlight w:val="black"/>
              </w:rPr>
              <w:t xml:space="preserve">'''''''''''''''''' ''''''''''''''''''''''''''' ''''' '''' ''''''''''' ''''''''''''''''''''''''' ''''''''''''''''' ''''''''' ''''''''''''''''''''' </w:t>
            </w:r>
          </w:p>
          <w:p w:rsidR="00321DBE" w:rsidRPr="00A765F3" w:rsidRDefault="00A765F3" w:rsidP="00C21496">
            <w:pPr>
              <w:pStyle w:val="Tabletext"/>
              <w:rPr>
                <w:highlight w:val="black"/>
              </w:rPr>
            </w:pPr>
            <w:r>
              <w:rPr>
                <w:noProof/>
                <w:color w:val="000000"/>
                <w:highlight w:val="black"/>
              </w:rPr>
              <w:t>''''''''''</w:t>
            </w:r>
          </w:p>
          <w:p w:rsidR="00321DBE" w:rsidRPr="00A765F3" w:rsidRDefault="00A765F3" w:rsidP="00C21496">
            <w:pPr>
              <w:pStyle w:val="Tabletext"/>
              <w:rPr>
                <w:highlight w:val="black"/>
              </w:rPr>
            </w:pPr>
            <w:r>
              <w:rPr>
                <w:noProof/>
                <w:color w:val="000000"/>
                <w:highlight w:val="black"/>
              </w:rPr>
              <w:t>''''''''' ''' ''''''''''''' '''''''''''''''''''''' '''''''''''''''''''''' ''''''''' '''''''''''''''''''''</w:t>
            </w:r>
          </w:p>
          <w:p w:rsidR="00321DBE" w:rsidRPr="00A765F3" w:rsidRDefault="00A765F3" w:rsidP="00C21496">
            <w:pPr>
              <w:pStyle w:val="Tabletext"/>
              <w:rPr>
                <w:highlight w:val="black"/>
              </w:rPr>
            </w:pPr>
            <w:r>
              <w:rPr>
                <w:noProof/>
                <w:color w:val="000000"/>
                <w:highlight w:val="black"/>
              </w:rPr>
              <w:t>'''''''''''''''''''''''''''''''</w:t>
            </w:r>
          </w:p>
          <w:p w:rsidR="00321DBE" w:rsidRPr="00A765F3" w:rsidRDefault="00A765F3" w:rsidP="00C21496">
            <w:pPr>
              <w:pStyle w:val="Tabletext"/>
              <w:rPr>
                <w:highlight w:val="black"/>
              </w:rPr>
            </w:pPr>
            <w:r>
              <w:rPr>
                <w:noProof/>
                <w:color w:val="000000"/>
                <w:highlight w:val="black"/>
              </w:rPr>
              <w:t>'''''''''''''''''''''''''''</w:t>
            </w:r>
          </w:p>
          <w:p w:rsidR="00321DBE" w:rsidRPr="00A765F3" w:rsidRDefault="00A765F3" w:rsidP="00C21496">
            <w:pPr>
              <w:pStyle w:val="Tabletext"/>
              <w:rPr>
                <w:highlight w:val="black"/>
              </w:rPr>
            </w:pPr>
            <w:r>
              <w:rPr>
                <w:noProof/>
                <w:color w:val="000000"/>
                <w:highlight w:val="black"/>
              </w:rPr>
              <w:t>'''''' ''''''''''''''''' '''''' '''''''' ''''''''''''''''''''' ''''''''''''''''''''''</w:t>
            </w:r>
          </w:p>
        </w:tc>
        <w:tc>
          <w:tcPr>
            <w:tcW w:w="1446" w:type="dxa"/>
            <w:tcBorders>
              <w:bottom w:val="single" w:sz="4" w:space="0" w:color="auto"/>
            </w:tcBorders>
          </w:tcPr>
          <w:p w:rsidR="00321DBE" w:rsidRPr="00A765F3" w:rsidRDefault="00A765F3" w:rsidP="00C21496">
            <w:pPr>
              <w:pStyle w:val="Tabletext"/>
              <w:rPr>
                <w:highlight w:val="black"/>
              </w:rPr>
            </w:pPr>
            <w:r>
              <w:rPr>
                <w:noProof/>
                <w:color w:val="000000"/>
                <w:highlight w:val="black"/>
              </w:rPr>
              <w:t>'''''''''''''''''' '''''' '''''''''''''''''''''''</w:t>
            </w:r>
          </w:p>
        </w:tc>
        <w:tc>
          <w:tcPr>
            <w:tcW w:w="3260" w:type="dxa"/>
            <w:tcBorders>
              <w:bottom w:val="single" w:sz="4" w:space="0" w:color="auto"/>
            </w:tcBorders>
          </w:tcPr>
          <w:p w:rsidR="00321DBE" w:rsidRPr="00A765F3" w:rsidRDefault="00A765F3" w:rsidP="00C21496">
            <w:pPr>
              <w:pStyle w:val="Tabletext"/>
              <w:rPr>
                <w:highlight w:val="black"/>
              </w:rPr>
            </w:pPr>
            <w:r>
              <w:rPr>
                <w:noProof/>
                <w:color w:val="000000"/>
                <w:highlight w:val="black"/>
              </w:rPr>
              <w:t>''''''''''''''''''' ''''''''' ''''''''''''''' ''''' '''''''''''''''''''''''''''''''' ''''' '''''''''''''''''''''''' ''''' ''''''''''''' ''''' ''''''''''''''''''''''''''''' '''' '''''''''''''''''</w:t>
            </w:r>
          </w:p>
          <w:p w:rsidR="00321DBE" w:rsidRPr="00A765F3" w:rsidRDefault="00A765F3" w:rsidP="00C21496">
            <w:pPr>
              <w:pStyle w:val="Tabletext"/>
              <w:rPr>
                <w:highlight w:val="black"/>
              </w:rPr>
            </w:pPr>
            <w:r>
              <w:rPr>
                <w:noProof/>
                <w:color w:val="000000"/>
                <w:highlight w:val="black"/>
              </w:rPr>
              <w:t>''''''''''''' '''''''''''' ''''''''''''' '''''''''''''''''''' '''''''''''''''''' ''''''''''''''' '''''''''''' ''''''''''' ''''''''''''''''' ''''''''''''''''''''''' ''''' ''''''''''''''''''''' '''''''' '''''''' ''''''''''''''' ''''''''''''''''''''''''''''''''''''''''' ''''''''''''''''''''''''' ''''' '''''''' ''''''''''''''''' ''''''''''''''''''''''''' '''''''''''''''''''''''' '''''''''' ''''''''''''''''''''''' ''''''''' ''''''''''''' ''''''''''' ''''''''''' ''''''''''''''''''' ''''' '''''''''''''' ''''''''''''''''''''''</w:t>
            </w:r>
          </w:p>
        </w:tc>
      </w:tr>
      <w:tr w:rsidR="00321DBE" w:rsidRPr="009F466A" w:rsidTr="009F466A">
        <w:tc>
          <w:tcPr>
            <w:tcW w:w="2660" w:type="dxa"/>
            <w:gridSpan w:val="2"/>
            <w:shd w:val="clear" w:color="auto" w:fill="000000" w:themeFill="text1"/>
          </w:tcPr>
          <w:p w:rsidR="00321DBE" w:rsidRPr="009F466A" w:rsidRDefault="00321DBE" w:rsidP="00C21496">
            <w:pPr>
              <w:pStyle w:val="Tabletext"/>
            </w:pPr>
            <w:r w:rsidRPr="009F466A">
              <w:t>Epoprostenol</w:t>
            </w:r>
          </w:p>
        </w:tc>
        <w:tc>
          <w:tcPr>
            <w:tcW w:w="2268" w:type="dxa"/>
            <w:shd w:val="clear" w:color="auto" w:fill="000000" w:themeFill="text1"/>
          </w:tcPr>
          <w:p w:rsidR="00321DBE" w:rsidRPr="009F466A" w:rsidRDefault="00321DBE" w:rsidP="00C21496">
            <w:pPr>
              <w:pStyle w:val="Tabletext"/>
            </w:pPr>
          </w:p>
        </w:tc>
        <w:tc>
          <w:tcPr>
            <w:tcW w:w="1446" w:type="dxa"/>
            <w:shd w:val="clear" w:color="auto" w:fill="000000" w:themeFill="text1"/>
          </w:tcPr>
          <w:p w:rsidR="00321DBE" w:rsidRPr="009F466A" w:rsidRDefault="00321DBE" w:rsidP="00C21496">
            <w:pPr>
              <w:pStyle w:val="Tabletext"/>
            </w:pPr>
          </w:p>
        </w:tc>
        <w:tc>
          <w:tcPr>
            <w:tcW w:w="3260" w:type="dxa"/>
            <w:shd w:val="clear" w:color="auto" w:fill="000000" w:themeFill="text1"/>
          </w:tcPr>
          <w:p w:rsidR="00321DBE" w:rsidRPr="009F466A" w:rsidRDefault="00321DBE" w:rsidP="00C21496">
            <w:pPr>
              <w:pStyle w:val="Tabletext"/>
            </w:pPr>
          </w:p>
        </w:tc>
      </w:tr>
      <w:tr w:rsidR="00321DBE" w:rsidRPr="009F466A" w:rsidTr="009F466A">
        <w:tc>
          <w:tcPr>
            <w:tcW w:w="1242" w:type="dxa"/>
          </w:tcPr>
          <w:p w:rsidR="00321DBE" w:rsidRPr="009F466A" w:rsidRDefault="00321DBE" w:rsidP="00C21496">
            <w:pPr>
              <w:pStyle w:val="Tabletext"/>
            </w:pPr>
            <w:r w:rsidRPr="009F466A">
              <w:t>March 2006</w:t>
            </w:r>
          </w:p>
        </w:tc>
        <w:tc>
          <w:tcPr>
            <w:tcW w:w="1418" w:type="dxa"/>
          </w:tcPr>
          <w:p w:rsidR="00321DBE" w:rsidRPr="009F466A" w:rsidRDefault="00321DBE" w:rsidP="00C21496">
            <w:pPr>
              <w:pStyle w:val="Tabletext"/>
            </w:pPr>
            <w:r w:rsidRPr="009F466A">
              <w:t>WHO FC III/IV IPAH</w:t>
            </w:r>
          </w:p>
        </w:tc>
        <w:tc>
          <w:tcPr>
            <w:tcW w:w="2268" w:type="dxa"/>
          </w:tcPr>
          <w:p w:rsidR="00321DBE" w:rsidRPr="009F466A" w:rsidRDefault="00321DBE" w:rsidP="00C21496">
            <w:pPr>
              <w:pStyle w:val="Tabletext"/>
            </w:pPr>
            <w:r w:rsidRPr="009F466A">
              <w:t xml:space="preserve">Indirect comparison of 2 RCTs comparing epoprostenol with conventional therapy: </w:t>
            </w:r>
          </w:p>
          <w:p w:rsidR="00321DBE" w:rsidRPr="009F466A" w:rsidRDefault="00321DBE" w:rsidP="00C21496">
            <w:pPr>
              <w:pStyle w:val="Tabletext"/>
            </w:pPr>
            <w:r w:rsidRPr="009F466A">
              <w:t>BW-46</w:t>
            </w:r>
          </w:p>
          <w:p w:rsidR="00321DBE" w:rsidRPr="009F466A" w:rsidRDefault="00321DBE" w:rsidP="00C21496">
            <w:pPr>
              <w:pStyle w:val="Tabletext"/>
            </w:pPr>
            <w:r w:rsidRPr="009F466A">
              <w:t>BW-35/36</w:t>
            </w:r>
          </w:p>
          <w:p w:rsidR="00321DBE" w:rsidRPr="009F466A" w:rsidRDefault="00321DBE" w:rsidP="00C21496">
            <w:pPr>
              <w:pStyle w:val="Tabletext"/>
            </w:pPr>
            <w:r w:rsidRPr="009F466A">
              <w:t>with 2 RCTs comparing bosentan with placebo:</w:t>
            </w:r>
          </w:p>
          <w:p w:rsidR="00321DBE" w:rsidRPr="009F466A" w:rsidRDefault="00321DBE" w:rsidP="00C21496">
            <w:pPr>
              <w:pStyle w:val="Tabletext"/>
            </w:pPr>
            <w:r w:rsidRPr="009F466A">
              <w:t>BREATHE-1</w:t>
            </w:r>
          </w:p>
          <w:p w:rsidR="00321DBE" w:rsidRPr="009F466A" w:rsidRDefault="00321DBE" w:rsidP="00C21496">
            <w:pPr>
              <w:pStyle w:val="Tabletext"/>
            </w:pPr>
            <w:r w:rsidRPr="009F466A">
              <w:t>AC-052-351</w:t>
            </w:r>
          </w:p>
          <w:p w:rsidR="00321DBE" w:rsidRPr="009F466A" w:rsidRDefault="00321DBE" w:rsidP="00C21496">
            <w:pPr>
              <w:pStyle w:val="Tabletext"/>
            </w:pPr>
            <w:r w:rsidRPr="009F466A">
              <w:t>via placebo/conventional therapy as the common reference</w:t>
            </w:r>
          </w:p>
        </w:tc>
        <w:tc>
          <w:tcPr>
            <w:tcW w:w="1446" w:type="dxa"/>
          </w:tcPr>
          <w:p w:rsidR="00321DBE" w:rsidRPr="009F466A" w:rsidRDefault="00321DBE" w:rsidP="00C21496">
            <w:pPr>
              <w:pStyle w:val="Tabletext"/>
            </w:pPr>
            <w:r w:rsidRPr="009F466A">
              <w:t>Epoprostenol vs bosentan</w:t>
            </w:r>
          </w:p>
        </w:tc>
        <w:tc>
          <w:tcPr>
            <w:tcW w:w="3260" w:type="dxa"/>
          </w:tcPr>
          <w:p w:rsidR="00321DBE" w:rsidRPr="009F466A" w:rsidRDefault="00321DBE" w:rsidP="00C21496">
            <w:pPr>
              <w:pStyle w:val="Tabletext"/>
            </w:pPr>
            <w:r w:rsidRPr="009F466A">
              <w:t>Epoprostenol was no worse than bosentan in terms of improvement in 6MWD.</w:t>
            </w:r>
          </w:p>
          <w:p w:rsidR="00321DBE" w:rsidRPr="009F466A" w:rsidRDefault="00321DBE" w:rsidP="00C21496">
            <w:pPr>
              <w:pStyle w:val="Tabletext"/>
            </w:pPr>
            <w:r w:rsidRPr="009F466A">
              <w:t>Epoprostenol was non-inferior to bosentan in terms of safety.</w:t>
            </w:r>
          </w:p>
        </w:tc>
      </w:tr>
      <w:tr w:rsidR="00321DBE" w:rsidRPr="009F466A" w:rsidTr="009F466A">
        <w:tc>
          <w:tcPr>
            <w:tcW w:w="1242" w:type="dxa"/>
            <w:tcBorders>
              <w:bottom w:val="single" w:sz="4" w:space="0" w:color="auto"/>
            </w:tcBorders>
          </w:tcPr>
          <w:p w:rsidR="00321DBE" w:rsidRPr="009F466A" w:rsidRDefault="00321DBE" w:rsidP="00C21496">
            <w:pPr>
              <w:pStyle w:val="Tabletext"/>
            </w:pPr>
            <w:r w:rsidRPr="009F466A">
              <w:t>November 2011</w:t>
            </w:r>
          </w:p>
        </w:tc>
        <w:tc>
          <w:tcPr>
            <w:tcW w:w="1418" w:type="dxa"/>
            <w:tcBorders>
              <w:bottom w:val="single" w:sz="4" w:space="0" w:color="auto"/>
            </w:tcBorders>
          </w:tcPr>
          <w:p w:rsidR="00321DBE" w:rsidRPr="009F466A" w:rsidRDefault="00321DBE" w:rsidP="00C21496">
            <w:pPr>
              <w:pStyle w:val="Tabletext"/>
            </w:pPr>
            <w:r w:rsidRPr="009F466A">
              <w:t>WHO FC III (as secondary therapy) and FC IV (as first-line therapy) PAH-CTD</w:t>
            </w:r>
          </w:p>
        </w:tc>
        <w:tc>
          <w:tcPr>
            <w:tcW w:w="2268" w:type="dxa"/>
            <w:tcBorders>
              <w:bottom w:val="single" w:sz="4" w:space="0" w:color="auto"/>
            </w:tcBorders>
          </w:tcPr>
          <w:p w:rsidR="00321DBE" w:rsidRPr="009F466A" w:rsidRDefault="00321DBE" w:rsidP="00C21496">
            <w:pPr>
              <w:pStyle w:val="Tabletext"/>
            </w:pPr>
            <w:r w:rsidRPr="009F466A">
              <w:t xml:space="preserve">Indirect comparison of 1 RCT comparing epoprostenol with conventional therapy: </w:t>
            </w:r>
          </w:p>
          <w:p w:rsidR="00321DBE" w:rsidRPr="009F466A" w:rsidRDefault="000074DA" w:rsidP="00C21496">
            <w:pPr>
              <w:pStyle w:val="Tabletext"/>
            </w:pPr>
            <w:r w:rsidRPr="009F466A">
              <w:t>VA1A4001</w:t>
            </w:r>
          </w:p>
          <w:p w:rsidR="00321DBE" w:rsidRPr="009F466A" w:rsidRDefault="00321DBE" w:rsidP="00C21496">
            <w:pPr>
              <w:pStyle w:val="Tabletext"/>
            </w:pPr>
            <w:r w:rsidRPr="009F466A">
              <w:t>with 1 RCT comparing iloprost with placebo:</w:t>
            </w:r>
          </w:p>
          <w:p w:rsidR="00321DBE" w:rsidRPr="009F466A" w:rsidRDefault="000074DA" w:rsidP="00C21496">
            <w:pPr>
              <w:pStyle w:val="Tabletext"/>
            </w:pPr>
            <w:r w:rsidRPr="009F466A">
              <w:t>AIR</w:t>
            </w:r>
            <w:r w:rsidR="00321DBE" w:rsidRPr="009F466A">
              <w:t xml:space="preserve"> (overall population (</w:t>
            </w:r>
            <w:proofErr w:type="spellStart"/>
            <w:r w:rsidR="00321DBE" w:rsidRPr="009F466A">
              <w:t>ie</w:t>
            </w:r>
            <w:proofErr w:type="spellEnd"/>
            <w:r w:rsidR="00321DBE" w:rsidRPr="009F466A">
              <w:t xml:space="preserve"> regardless of PAH aetiology) and secondary PAH subgroup)</w:t>
            </w:r>
          </w:p>
          <w:p w:rsidR="00321DBE" w:rsidRPr="009F466A" w:rsidRDefault="00321DBE" w:rsidP="00C21496">
            <w:pPr>
              <w:pStyle w:val="Tabletext"/>
            </w:pPr>
            <w:r w:rsidRPr="009F466A">
              <w:t>via placebo/conventional therapy as the common reference</w:t>
            </w:r>
          </w:p>
          <w:p w:rsidR="00321DBE" w:rsidRPr="009F466A" w:rsidRDefault="00321DBE" w:rsidP="00C21496">
            <w:pPr>
              <w:pStyle w:val="Tabletext"/>
            </w:pPr>
          </w:p>
          <w:p w:rsidR="00321DBE" w:rsidRPr="009F466A" w:rsidRDefault="00321DBE" w:rsidP="00C21496">
            <w:pPr>
              <w:pStyle w:val="Tabletext"/>
            </w:pPr>
            <w:r w:rsidRPr="009F466A">
              <w:t xml:space="preserve">Indirect comparison of 1 RCT comparing epoprostenol with conventional therapy: </w:t>
            </w:r>
          </w:p>
          <w:p w:rsidR="00321DBE" w:rsidRPr="009F466A" w:rsidRDefault="00321DBE" w:rsidP="00C21496">
            <w:pPr>
              <w:pStyle w:val="Tabletext"/>
            </w:pPr>
            <w:r w:rsidRPr="009F466A">
              <w:t>VA1A4001</w:t>
            </w:r>
          </w:p>
          <w:p w:rsidR="00321DBE" w:rsidRPr="009F466A" w:rsidRDefault="00321DBE" w:rsidP="00C21496">
            <w:pPr>
              <w:pStyle w:val="Tabletext"/>
            </w:pPr>
            <w:r w:rsidRPr="009F466A">
              <w:t xml:space="preserve">with 2 RCTs comparing bosentan </w:t>
            </w:r>
            <w:r w:rsidRPr="009F466A">
              <w:lastRenderedPageBreak/>
              <w:t>with placebo:</w:t>
            </w:r>
          </w:p>
          <w:p w:rsidR="00321DBE" w:rsidRPr="009F466A" w:rsidRDefault="000074DA" w:rsidP="00C21496">
            <w:pPr>
              <w:pStyle w:val="Tabletext"/>
            </w:pPr>
            <w:r w:rsidRPr="009F466A">
              <w:t>BREATHE-1</w:t>
            </w:r>
            <w:r w:rsidR="00321DBE" w:rsidRPr="009F466A">
              <w:t xml:space="preserve"> (PAH-CTD subgroup)</w:t>
            </w:r>
          </w:p>
          <w:p w:rsidR="00321DBE" w:rsidRPr="009F466A" w:rsidRDefault="000074DA" w:rsidP="00C21496">
            <w:pPr>
              <w:pStyle w:val="Tabletext"/>
            </w:pPr>
            <w:r w:rsidRPr="009F466A">
              <w:t>AC-052-351</w:t>
            </w:r>
            <w:r w:rsidR="00321DBE" w:rsidRPr="009F466A">
              <w:t xml:space="preserve"> (PAH-CTD subgroup)</w:t>
            </w:r>
          </w:p>
          <w:p w:rsidR="00321DBE" w:rsidRPr="009F466A" w:rsidRDefault="00321DBE" w:rsidP="00C21496">
            <w:pPr>
              <w:pStyle w:val="Tabletext"/>
            </w:pPr>
            <w:r w:rsidRPr="009F466A">
              <w:t>via placebo/conventional therapy as the common reference</w:t>
            </w:r>
          </w:p>
        </w:tc>
        <w:tc>
          <w:tcPr>
            <w:tcW w:w="1446" w:type="dxa"/>
            <w:tcBorders>
              <w:bottom w:val="single" w:sz="4" w:space="0" w:color="auto"/>
            </w:tcBorders>
          </w:tcPr>
          <w:p w:rsidR="00321DBE" w:rsidRPr="009F466A" w:rsidRDefault="00321DBE" w:rsidP="00C21496">
            <w:pPr>
              <w:pStyle w:val="Tabletext"/>
            </w:pPr>
            <w:r w:rsidRPr="009F466A">
              <w:lastRenderedPageBreak/>
              <w:t xml:space="preserve">Epoprostenol vs iloprost </w:t>
            </w:r>
          </w:p>
          <w:p w:rsidR="00321DBE" w:rsidRPr="009F466A" w:rsidRDefault="00321DBE" w:rsidP="00C21496">
            <w:pPr>
              <w:pStyle w:val="Tabletext"/>
            </w:pPr>
          </w:p>
          <w:p w:rsidR="00321DBE" w:rsidRPr="009F466A" w:rsidRDefault="00321DBE" w:rsidP="00C21496">
            <w:pPr>
              <w:pStyle w:val="Tabletext"/>
            </w:pPr>
            <w:r w:rsidRPr="009F466A">
              <w:t>Epoprostenol vs bosentan</w:t>
            </w:r>
          </w:p>
        </w:tc>
        <w:tc>
          <w:tcPr>
            <w:tcW w:w="3260" w:type="dxa"/>
            <w:tcBorders>
              <w:bottom w:val="single" w:sz="4" w:space="0" w:color="auto"/>
            </w:tcBorders>
          </w:tcPr>
          <w:p w:rsidR="00321DBE" w:rsidRPr="009F466A" w:rsidRDefault="00321DBE" w:rsidP="00C21496">
            <w:pPr>
              <w:pStyle w:val="Tabletext"/>
            </w:pPr>
            <w:r w:rsidRPr="009F466A">
              <w:t>Epoprostenol was non-inferior to iloprost in terms of improvement in 6MWD and haemodynamic parameters</w:t>
            </w:r>
          </w:p>
          <w:p w:rsidR="00321DBE" w:rsidRPr="009F466A" w:rsidRDefault="00321DBE" w:rsidP="00C21496">
            <w:pPr>
              <w:pStyle w:val="Tabletext"/>
            </w:pPr>
            <w:r w:rsidRPr="009F466A">
              <w:t>Epoprostenol was non-inferior to bosentan in terms of improvement in 6MWD</w:t>
            </w:r>
          </w:p>
          <w:p w:rsidR="00321DBE" w:rsidRPr="009F466A" w:rsidRDefault="00321DBE" w:rsidP="00C21496">
            <w:pPr>
              <w:pStyle w:val="Tabletext"/>
            </w:pPr>
            <w:r w:rsidRPr="009F466A">
              <w:t>The comparative safety of epoprostenol with iloprost and bosentan was difficult to assess in the absence of head-to head trial data. However, safety profiles of these PAH medicines were well recognised and the safety of epoprostenol was comparable across all subgroups of PAH patients.</w:t>
            </w:r>
          </w:p>
        </w:tc>
      </w:tr>
      <w:tr w:rsidR="00321DBE" w:rsidRPr="009F466A" w:rsidTr="009F466A">
        <w:tc>
          <w:tcPr>
            <w:tcW w:w="1242" w:type="dxa"/>
            <w:shd w:val="clear" w:color="auto" w:fill="000000" w:themeFill="text1"/>
          </w:tcPr>
          <w:p w:rsidR="00321DBE" w:rsidRPr="009F466A" w:rsidRDefault="00321DBE" w:rsidP="00C21496">
            <w:pPr>
              <w:pStyle w:val="Tabletext"/>
            </w:pPr>
            <w:r w:rsidRPr="009F466A">
              <w:lastRenderedPageBreak/>
              <w:t>Riociguat</w:t>
            </w:r>
          </w:p>
        </w:tc>
        <w:tc>
          <w:tcPr>
            <w:tcW w:w="1418" w:type="dxa"/>
            <w:shd w:val="clear" w:color="auto" w:fill="000000" w:themeFill="text1"/>
          </w:tcPr>
          <w:p w:rsidR="00321DBE" w:rsidRPr="009F466A" w:rsidRDefault="00321DBE" w:rsidP="00C21496">
            <w:pPr>
              <w:pStyle w:val="Tabletext"/>
            </w:pPr>
          </w:p>
        </w:tc>
        <w:tc>
          <w:tcPr>
            <w:tcW w:w="2268" w:type="dxa"/>
            <w:shd w:val="clear" w:color="auto" w:fill="000000" w:themeFill="text1"/>
          </w:tcPr>
          <w:p w:rsidR="00321DBE" w:rsidRPr="009F466A" w:rsidRDefault="00321DBE" w:rsidP="00C21496">
            <w:pPr>
              <w:pStyle w:val="Tabletext"/>
            </w:pPr>
          </w:p>
        </w:tc>
        <w:tc>
          <w:tcPr>
            <w:tcW w:w="1446" w:type="dxa"/>
            <w:shd w:val="clear" w:color="auto" w:fill="000000" w:themeFill="text1"/>
          </w:tcPr>
          <w:p w:rsidR="00321DBE" w:rsidRPr="009F466A" w:rsidRDefault="00321DBE" w:rsidP="00C21496">
            <w:pPr>
              <w:pStyle w:val="Tabletext"/>
            </w:pPr>
          </w:p>
        </w:tc>
        <w:tc>
          <w:tcPr>
            <w:tcW w:w="3260" w:type="dxa"/>
            <w:shd w:val="clear" w:color="auto" w:fill="000000" w:themeFill="text1"/>
          </w:tcPr>
          <w:p w:rsidR="00321DBE" w:rsidRPr="009F466A" w:rsidRDefault="00321DBE" w:rsidP="00C21496">
            <w:pPr>
              <w:pStyle w:val="Tabletext"/>
            </w:pPr>
          </w:p>
        </w:tc>
      </w:tr>
      <w:tr w:rsidR="00321DBE" w:rsidRPr="009F466A" w:rsidTr="009F466A">
        <w:tc>
          <w:tcPr>
            <w:tcW w:w="1242" w:type="dxa"/>
          </w:tcPr>
          <w:p w:rsidR="00321DBE" w:rsidRPr="009F466A" w:rsidRDefault="00321DBE" w:rsidP="00C21496">
            <w:pPr>
              <w:pStyle w:val="Tabletext"/>
            </w:pPr>
            <w:r w:rsidRPr="009F466A">
              <w:t>March 2014</w:t>
            </w:r>
          </w:p>
        </w:tc>
        <w:tc>
          <w:tcPr>
            <w:tcW w:w="1418" w:type="dxa"/>
          </w:tcPr>
          <w:p w:rsidR="00321DBE" w:rsidRPr="009F466A" w:rsidRDefault="00321DBE" w:rsidP="00C21496">
            <w:pPr>
              <w:pStyle w:val="Tabletext"/>
            </w:pPr>
            <w:r w:rsidRPr="009F466A">
              <w:t>WHO FC III/IV IPAH, PAH-CTD and PAH-CHD</w:t>
            </w:r>
          </w:p>
        </w:tc>
        <w:tc>
          <w:tcPr>
            <w:tcW w:w="2268" w:type="dxa"/>
          </w:tcPr>
          <w:p w:rsidR="00321DBE" w:rsidRPr="009F466A" w:rsidRDefault="00321DBE" w:rsidP="00C21496">
            <w:pPr>
              <w:pStyle w:val="Tabletext"/>
            </w:pPr>
            <w:r w:rsidRPr="009F466A">
              <w:t xml:space="preserve">Indirect comparison of 1 RCT comparing riociguat with placebo: </w:t>
            </w:r>
          </w:p>
          <w:p w:rsidR="00321DBE" w:rsidRPr="009F466A" w:rsidRDefault="003B00E9" w:rsidP="00C21496">
            <w:pPr>
              <w:pStyle w:val="Tabletext"/>
            </w:pPr>
            <w:r w:rsidRPr="009F466A">
              <w:t>PATENT-1</w:t>
            </w:r>
            <w:r w:rsidR="00321DBE" w:rsidRPr="009F466A">
              <w:t xml:space="preserve"> (treatment-naïve, WHO FC III/IV subgroup)</w:t>
            </w:r>
          </w:p>
          <w:p w:rsidR="00321DBE" w:rsidRPr="009F466A" w:rsidRDefault="00321DBE" w:rsidP="00C21496">
            <w:pPr>
              <w:pStyle w:val="Tabletext"/>
            </w:pPr>
            <w:r w:rsidRPr="009F466A">
              <w:t>with 3 RCTs comparing bosentan with placebo:</w:t>
            </w:r>
          </w:p>
          <w:p w:rsidR="00321DBE" w:rsidRPr="009F466A" w:rsidRDefault="00321DBE" w:rsidP="00C21496">
            <w:pPr>
              <w:pStyle w:val="Tabletext"/>
            </w:pPr>
            <w:r w:rsidRPr="009F466A">
              <w:t>BREATHE-1</w:t>
            </w:r>
          </w:p>
          <w:p w:rsidR="00321DBE" w:rsidRPr="009F466A" w:rsidRDefault="00321DBE" w:rsidP="00C21496">
            <w:pPr>
              <w:pStyle w:val="Tabletext"/>
            </w:pPr>
            <w:r w:rsidRPr="009F466A">
              <w:t>AC-052-351</w:t>
            </w:r>
          </w:p>
          <w:p w:rsidR="00321DBE" w:rsidRPr="009F466A" w:rsidRDefault="00321DBE" w:rsidP="00C21496">
            <w:pPr>
              <w:pStyle w:val="Tabletext"/>
            </w:pPr>
            <w:r w:rsidRPr="009F466A">
              <w:t>BREATHE-5</w:t>
            </w:r>
          </w:p>
          <w:p w:rsidR="00321DBE" w:rsidRPr="009F466A" w:rsidRDefault="00321DBE" w:rsidP="00C21496">
            <w:pPr>
              <w:pStyle w:val="Tabletext"/>
            </w:pPr>
            <w:r w:rsidRPr="009F466A">
              <w:t>via placebo as the common reference</w:t>
            </w:r>
          </w:p>
        </w:tc>
        <w:tc>
          <w:tcPr>
            <w:tcW w:w="1446" w:type="dxa"/>
          </w:tcPr>
          <w:p w:rsidR="00321DBE" w:rsidRPr="009F466A" w:rsidRDefault="00321DBE" w:rsidP="00C21496">
            <w:pPr>
              <w:pStyle w:val="Tabletext"/>
            </w:pPr>
            <w:r w:rsidRPr="009F466A">
              <w:t>Riociguat vs bosentan</w:t>
            </w:r>
          </w:p>
        </w:tc>
        <w:tc>
          <w:tcPr>
            <w:tcW w:w="3260" w:type="dxa"/>
          </w:tcPr>
          <w:p w:rsidR="00321DBE" w:rsidRPr="009F466A" w:rsidRDefault="00321DBE" w:rsidP="00C21496">
            <w:pPr>
              <w:pStyle w:val="Tabletext"/>
            </w:pPr>
            <w:r w:rsidRPr="009F466A">
              <w:t>Riociguat was non-inferior to bosentan in terms of improvement in 6MWD</w:t>
            </w:r>
          </w:p>
          <w:p w:rsidR="00321DBE" w:rsidRPr="009F466A" w:rsidRDefault="00321DBE" w:rsidP="00C21496">
            <w:pPr>
              <w:pStyle w:val="Tabletext"/>
            </w:pPr>
            <w:r w:rsidRPr="009F466A">
              <w:t>The safety profiles of riociguat and bosentan were likely to be dissimilar.</w:t>
            </w:r>
          </w:p>
        </w:tc>
      </w:tr>
    </w:tbl>
    <w:p w:rsidR="00321DBE" w:rsidRPr="00532B79" w:rsidRDefault="00321DBE" w:rsidP="00C21496">
      <w:pPr>
        <w:pStyle w:val="Tablenote"/>
        <w:jc w:val="left"/>
      </w:pPr>
      <w:r w:rsidRPr="00532B79">
        <w:t>6MWD = 6-minute walk distance; BDI= Borg Dyspnoea Index; FC = functional class; IPAH = idiopathic pulmonary arterial hypertension; PAH = pulmonary arterial hypertension; PAH-CTD = PAH associated with connective tissue disease; PAH-CHD = PAH associated with congenital heart disease; RCT = randomised controlled trial; WHO = World Health Organization</w:t>
      </w:r>
    </w:p>
    <w:p w:rsidR="00532B79" w:rsidRPr="00532B79" w:rsidRDefault="00321DBE" w:rsidP="00C21496">
      <w:pPr>
        <w:pStyle w:val="Tablenote"/>
        <w:jc w:val="left"/>
        <w:rPr>
          <w:i/>
        </w:rPr>
      </w:pPr>
      <w:r w:rsidRPr="00532B79">
        <w:rPr>
          <w:i/>
        </w:rPr>
        <w:t>Source: Relevant Public summary documents and ratified PBAC minutes</w:t>
      </w:r>
    </w:p>
    <w:p w:rsidR="00532B79" w:rsidRDefault="00532B79" w:rsidP="00C21496">
      <w:pPr>
        <w:jc w:val="left"/>
        <w:rPr>
          <w:rFonts w:eastAsiaTheme="minorEastAsia" w:cs="Baskerville"/>
          <w:i/>
          <w:sz w:val="18"/>
          <w:szCs w:val="20"/>
        </w:rPr>
      </w:pPr>
      <w:r>
        <w:rPr>
          <w:i/>
        </w:rPr>
        <w:br w:type="page"/>
      </w:r>
    </w:p>
    <w:p w:rsidR="00321DBE" w:rsidRPr="009F466A" w:rsidRDefault="00321DBE" w:rsidP="00C21496">
      <w:pPr>
        <w:pStyle w:val="Tablenote"/>
        <w:jc w:val="left"/>
        <w:rPr>
          <w:rFonts w:asciiTheme="minorHAnsi" w:hAnsiTheme="minorHAnsi"/>
          <w:i/>
        </w:rPr>
      </w:pPr>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bookmarkStart w:id="73" w:name="_Toc508396550"/>
      <w:r w:rsidRPr="00532B79">
        <w:rPr>
          <w:b w:val="0"/>
          <w:color w:val="auto"/>
          <w:shd w:val="clear" w:color="auto" w:fill="F2F2F2" w:themeFill="background1" w:themeFillShade="F2"/>
        </w:rPr>
        <w:t>Q3.</w:t>
      </w:r>
      <w:r w:rsidRPr="00532B79">
        <w:rPr>
          <w:b w:val="0"/>
          <w:color w:val="auto"/>
          <w:shd w:val="clear" w:color="auto" w:fill="F2F2F2" w:themeFill="background1" w:themeFillShade="F2"/>
        </w:rPr>
        <w:tab/>
        <w:t>What is the effectiveness and safety of dual combination therapy involving any combination of an ERA, a PDE 5 inhibitor, a prostanoid, or a sGC stimulat</w:t>
      </w:r>
      <w:r w:rsidR="00A601D3">
        <w:rPr>
          <w:b w:val="0"/>
          <w:color w:val="auto"/>
          <w:shd w:val="clear" w:color="auto" w:fill="F2F2F2" w:themeFill="background1" w:themeFillShade="F2"/>
        </w:rPr>
        <w:t xml:space="preserve">or, compared to monotherapy, </w:t>
      </w:r>
      <w:proofErr w:type="gramStart"/>
      <w:r w:rsidR="00A601D3">
        <w:rPr>
          <w:b w:val="0"/>
          <w:color w:val="auto"/>
          <w:shd w:val="clear" w:color="auto" w:fill="F2F2F2" w:themeFill="background1" w:themeFillShade="F2"/>
        </w:rPr>
        <w:t>in</w:t>
      </w:r>
      <w:proofErr w:type="gramEnd"/>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proofErr w:type="spellStart"/>
      <w:r w:rsidRPr="00532B79">
        <w:rPr>
          <w:b w:val="0"/>
          <w:color w:val="auto"/>
          <w:shd w:val="clear" w:color="auto" w:fill="F2F2F2" w:themeFill="background1" w:themeFillShade="F2"/>
        </w:rPr>
        <w:t>i</w:t>
      </w:r>
      <w:proofErr w:type="spellEnd"/>
      <w:r w:rsidRPr="00532B79">
        <w:rPr>
          <w:b w:val="0"/>
          <w:color w:val="auto"/>
          <w:shd w:val="clear" w:color="auto" w:fill="F2F2F2" w:themeFill="background1" w:themeFillShade="F2"/>
        </w:rPr>
        <w:t>)</w:t>
      </w:r>
      <w:r w:rsidRPr="00532B79">
        <w:rPr>
          <w:b w:val="0"/>
          <w:color w:val="auto"/>
          <w:shd w:val="clear" w:color="auto" w:fill="F2F2F2" w:themeFill="background1" w:themeFillShade="F2"/>
        </w:rPr>
        <w:tab/>
        <w:t>PAH patients, irrespective of disease severity or aetiology;</w:t>
      </w:r>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ii)</w:t>
      </w:r>
      <w:r w:rsidRPr="00532B79">
        <w:rPr>
          <w:b w:val="0"/>
          <w:color w:val="auto"/>
          <w:shd w:val="clear" w:color="auto" w:fill="F2F2F2" w:themeFill="background1" w:themeFillShade="F2"/>
        </w:rPr>
        <w:tab/>
        <w:t>PAH patients with FC III or IV; and</w:t>
      </w:r>
    </w:p>
    <w:p w:rsidR="00532B79" w:rsidRPr="00D228A6" w:rsidRDefault="00532B79" w:rsidP="00C21496">
      <w:pPr>
        <w:pStyle w:val="ToRText"/>
        <w:shd w:val="clear" w:color="auto" w:fill="F2F2F2" w:themeFill="background1" w:themeFillShade="F2"/>
        <w:rPr>
          <w:b w:val="0"/>
          <w:color w:val="auto"/>
        </w:rPr>
      </w:pPr>
      <w:r w:rsidRPr="00532B79">
        <w:rPr>
          <w:b w:val="0"/>
          <w:color w:val="auto"/>
          <w:shd w:val="clear" w:color="auto" w:fill="F2F2F2" w:themeFill="background1" w:themeFillShade="F2"/>
        </w:rPr>
        <w:t>iii)</w:t>
      </w:r>
      <w:r w:rsidRPr="00532B79">
        <w:rPr>
          <w:b w:val="0"/>
          <w:color w:val="auto"/>
          <w:shd w:val="clear" w:color="auto" w:fill="F2F2F2" w:themeFill="background1" w:themeFillShade="F2"/>
        </w:rPr>
        <w:tab/>
        <w:t>PAH patients with different disease aetiologies?</w:t>
      </w:r>
    </w:p>
    <w:p w:rsidR="00321DBE" w:rsidRPr="009F466A" w:rsidRDefault="00321DBE" w:rsidP="00C21496">
      <w:pPr>
        <w:pStyle w:val="Heading3"/>
        <w:jc w:val="left"/>
      </w:pPr>
      <w:bookmarkStart w:id="74" w:name="_Toc513110249"/>
      <w:r w:rsidRPr="009F466A">
        <w:t>Effectiveness and safety of dual combination therapy</w:t>
      </w:r>
      <w:bookmarkEnd w:id="73"/>
      <w:bookmarkEnd w:id="74"/>
      <w:r w:rsidRPr="009F466A">
        <w:t xml:space="preserve"> </w:t>
      </w:r>
    </w:p>
    <w:p w:rsidR="00321DBE" w:rsidRPr="009F466A" w:rsidRDefault="00321DBE" w:rsidP="00C21496">
      <w:pPr>
        <w:pStyle w:val="Heading4"/>
      </w:pPr>
      <w:r w:rsidRPr="009F466A">
        <w:t>ERA in addition to PDE-5 inhibitor</w:t>
      </w:r>
    </w:p>
    <w:p w:rsidR="0016033A" w:rsidRPr="0016033A" w:rsidRDefault="0016033A" w:rsidP="00C21496">
      <w:pPr>
        <w:pStyle w:val="Heading5"/>
        <w:keepLines w:val="0"/>
        <w:numPr>
          <w:ilvl w:val="0"/>
          <w:numId w:val="0"/>
        </w:numPr>
        <w:spacing w:before="240"/>
        <w:jc w:val="left"/>
        <w:rPr>
          <w:color w:val="auto"/>
          <w:u w:val="single"/>
        </w:rPr>
      </w:pPr>
      <w:bookmarkStart w:id="75" w:name="_Ref506283556"/>
      <w:bookmarkStart w:id="76" w:name="_Toc508396838"/>
      <w:r w:rsidRPr="0016033A">
        <w:rPr>
          <w:color w:val="auto"/>
          <w:u w:val="single"/>
        </w:rPr>
        <w:t>Clinical effectiveness</w:t>
      </w:r>
    </w:p>
    <w:p w:rsidR="0016033A" w:rsidRDefault="0016033A" w:rsidP="00C21496">
      <w:pPr>
        <w:jc w:val="left"/>
      </w:pPr>
      <w:r w:rsidRPr="00822C52">
        <w:t>Four RCTs reported on the effectiveness of an ERA in addition to a PDE-5</w:t>
      </w:r>
      <w:r>
        <w:t xml:space="preserve"> </w:t>
      </w:r>
      <w:r w:rsidRPr="00C5017B">
        <w:t xml:space="preserve">inhibitor </w:t>
      </w:r>
      <w:r w:rsidRPr="00822C52">
        <w:t xml:space="preserve">in treating PAH compared with placebo plus a </w:t>
      </w:r>
      <w:r>
        <w:t>PDE-5 inhibitor</w:t>
      </w:r>
      <w:r w:rsidRPr="00822C52">
        <w:t xml:space="preserve"> in patients with PAH</w:t>
      </w:r>
      <w:r>
        <w:t>:</w:t>
      </w:r>
    </w:p>
    <w:p w:rsidR="0016033A" w:rsidRPr="00CF209C" w:rsidRDefault="0016033A" w:rsidP="00C21496">
      <w:pPr>
        <w:pStyle w:val="Bullettext"/>
        <w:ind w:left="720"/>
      </w:pPr>
      <w:r w:rsidRPr="00CF209C">
        <w:t>Three trials (EARLY, COMPASS-2 and SERAPHIN) enrolled patients on stable PDE-5 inhibitor monotherapy (sequential combination therapy)</w:t>
      </w:r>
      <w:r>
        <w:t>.</w:t>
      </w:r>
    </w:p>
    <w:p w:rsidR="0016033A" w:rsidRPr="004F537C" w:rsidRDefault="0016033A" w:rsidP="00C21496">
      <w:pPr>
        <w:pStyle w:val="Bullettext"/>
        <w:ind w:left="720"/>
      </w:pPr>
      <w:r w:rsidRPr="004F537C">
        <w:t>One trial (AMBITION) enrolled treatment naïve patients (initial combination therapy)</w:t>
      </w:r>
      <w:r w:rsidR="004F537C" w:rsidRPr="004F537C">
        <w:t>.</w:t>
      </w:r>
    </w:p>
    <w:p w:rsidR="0016033A" w:rsidRPr="004F537C" w:rsidRDefault="0016033A" w:rsidP="00C16A76">
      <w:pPr>
        <w:pStyle w:val="Bullettext"/>
        <w:ind w:left="720"/>
      </w:pPr>
      <w:r w:rsidRPr="004F537C">
        <w:t>There were no statistically significant di</w:t>
      </w:r>
      <w:r w:rsidRPr="00166AC7">
        <w:t>fferences in the effectiveness of treatment for patients receiving initial combination therapy versus monotherapy and patients receiving sequential</w:t>
      </w:r>
      <w:r w:rsidRPr="004F537C">
        <w:t xml:space="preserve"> combination therapy versus monotherapy.</w:t>
      </w:r>
    </w:p>
    <w:p w:rsidR="0016033A" w:rsidRPr="00CF209C" w:rsidRDefault="0016033A" w:rsidP="00C21496">
      <w:pPr>
        <w:pStyle w:val="Bullettext"/>
        <w:ind w:left="720"/>
      </w:pPr>
      <w:r w:rsidRPr="00CF209C">
        <w:t xml:space="preserve">Two RCTs included </w:t>
      </w:r>
      <w:r>
        <w:t xml:space="preserve">a </w:t>
      </w:r>
      <w:r w:rsidRPr="00CF209C">
        <w:t>subgroup analysis for patients with WHO FC III/IV PAH</w:t>
      </w:r>
      <w:r>
        <w:t>.</w:t>
      </w:r>
    </w:p>
    <w:p w:rsidR="0016033A" w:rsidRPr="00CF209C" w:rsidRDefault="0016033A" w:rsidP="00C21496">
      <w:pPr>
        <w:pStyle w:val="Bullettext"/>
        <w:ind w:left="720"/>
      </w:pPr>
      <w:r w:rsidRPr="00CF209C">
        <w:t xml:space="preserve">Two RCTs included </w:t>
      </w:r>
      <w:r>
        <w:t xml:space="preserve">a </w:t>
      </w:r>
      <w:r w:rsidRPr="00CF209C">
        <w:t>subgroup analysis for patients with</w:t>
      </w:r>
      <w:r>
        <w:t xml:space="preserve"> different PAH aetiologies.</w:t>
      </w:r>
    </w:p>
    <w:p w:rsidR="0016033A" w:rsidRDefault="0016033A" w:rsidP="00C21496">
      <w:pPr>
        <w:jc w:val="left"/>
      </w:pPr>
      <w:r>
        <w:t xml:space="preserve">The evidence provided by these trials is summarised in </w:t>
      </w:r>
      <w:r w:rsidR="00CC79E1">
        <w:t>Table ES.</w:t>
      </w:r>
      <w:r w:rsidR="00CC79E1">
        <w:rPr>
          <w:noProof/>
        </w:rPr>
        <w:t>9</w:t>
      </w:r>
      <w:r w:rsidR="00AE4F76">
        <w:t>.</w:t>
      </w:r>
    </w:p>
    <w:p w:rsidR="0016033A" w:rsidRDefault="0016033A" w:rsidP="00C21496">
      <w:pPr>
        <w:jc w:val="left"/>
      </w:pPr>
      <w:r>
        <w:t xml:space="preserve">Overall, </w:t>
      </w:r>
      <w:r w:rsidRPr="00C84392">
        <w:t>there is some evidence to suggest</w:t>
      </w:r>
      <w:r>
        <w:t xml:space="preserve"> that</w:t>
      </w:r>
      <w:r w:rsidRPr="00843DF8">
        <w:t xml:space="preserve"> the use of an ERA in addition to PDE-5 inhibitor, relative to PDE-5 inhibitor monotherapy to treat PAH patients is likely to be beneficial</w:t>
      </w:r>
      <w:r w:rsidRPr="006316DF">
        <w:t xml:space="preserve">. </w:t>
      </w:r>
      <w:r>
        <w:t>The evidence for patients with WHO FC III/IV PAH</w:t>
      </w:r>
      <w:r w:rsidRPr="00FD4377">
        <w:t xml:space="preserve"> </w:t>
      </w:r>
      <w:r>
        <w:t>and for patients with different PAH aetiologies is more limited, introducing more uncertainty.</w:t>
      </w:r>
    </w:p>
    <w:p w:rsidR="00A4053B" w:rsidRDefault="00A4053B" w:rsidP="00C21496">
      <w:pPr>
        <w:jc w:val="left"/>
        <w:rPr>
          <w:rFonts w:eastAsia="Times New Roman" w:cs="Times New Roman"/>
          <w:b/>
          <w:bCs/>
          <w:szCs w:val="18"/>
        </w:rPr>
      </w:pPr>
      <w:r>
        <w:br w:type="page"/>
      </w:r>
    </w:p>
    <w:p w:rsidR="008B69E5" w:rsidRPr="008B69E5" w:rsidRDefault="008B69E5" w:rsidP="00C21496">
      <w:pPr>
        <w:pStyle w:val="Caption"/>
        <w:jc w:val="left"/>
      </w:pPr>
      <w:bookmarkStart w:id="77" w:name="_Ref511118773"/>
      <w:bookmarkStart w:id="78" w:name="_Toc513108453"/>
      <w:bookmarkEnd w:id="75"/>
      <w:bookmarkEnd w:id="76"/>
      <w:r>
        <w:lastRenderedPageBreak/>
        <w:t>Table ES.</w:t>
      </w:r>
      <w:r w:rsidR="00CC79E1">
        <w:rPr>
          <w:noProof/>
        </w:rPr>
        <w:t>9</w:t>
      </w:r>
      <w:bookmarkEnd w:id="77"/>
      <w:r>
        <w:tab/>
      </w:r>
      <w:r w:rsidRPr="00C10642">
        <w:t>Summary of the evidence for the clinical effectiveness of an ERA in addition to a</w:t>
      </w:r>
      <w:r w:rsidRPr="009F466A">
        <w:t xml:space="preserve"> PDE-5 inhibitor, relative to PDE-5 inhibitor monotherapy</w:t>
      </w:r>
      <w:bookmarkEnd w:id="78"/>
    </w:p>
    <w:tbl>
      <w:tblPr>
        <w:tblStyle w:val="TableGrid"/>
        <w:tblW w:w="9634" w:type="dxa"/>
        <w:tblLayout w:type="fixed"/>
        <w:tblLook w:val="04A0" w:firstRow="1" w:lastRow="0" w:firstColumn="1" w:lastColumn="0" w:noHBand="0" w:noVBand="1"/>
        <w:tblCaption w:val="Summary of the evidence for the clinical effectiveness of an ERA in addition to a PDE-5 inhibitor, relative to PDE-5 inhibitor monotherapy"/>
      </w:tblPr>
      <w:tblGrid>
        <w:gridCol w:w="1555"/>
        <w:gridCol w:w="2239"/>
        <w:gridCol w:w="5840"/>
      </w:tblGrid>
      <w:tr w:rsidR="00321DBE" w:rsidRPr="009F466A" w:rsidTr="00FF6202">
        <w:trPr>
          <w:tblHeader/>
        </w:trPr>
        <w:tc>
          <w:tcPr>
            <w:tcW w:w="1555" w:type="dxa"/>
            <w:shd w:val="clear" w:color="auto" w:fill="BFBFBF" w:themeFill="background1" w:themeFillShade="BF"/>
          </w:tcPr>
          <w:p w:rsidR="00321DBE" w:rsidRPr="00A4053B" w:rsidRDefault="00321DBE" w:rsidP="00C21496">
            <w:pPr>
              <w:pStyle w:val="TableTextDusc"/>
              <w:rPr>
                <w:b/>
              </w:rPr>
            </w:pPr>
            <w:r w:rsidRPr="00A4053B">
              <w:rPr>
                <w:b/>
              </w:rPr>
              <w:t>Outcome</w:t>
            </w:r>
          </w:p>
        </w:tc>
        <w:tc>
          <w:tcPr>
            <w:tcW w:w="2239" w:type="dxa"/>
            <w:shd w:val="clear" w:color="auto" w:fill="BFBFBF" w:themeFill="background1" w:themeFillShade="BF"/>
          </w:tcPr>
          <w:p w:rsidR="00321DBE" w:rsidRPr="00A4053B" w:rsidRDefault="00321DBE" w:rsidP="00C21496">
            <w:pPr>
              <w:pStyle w:val="TableTextDusc"/>
              <w:rPr>
                <w:b/>
              </w:rPr>
            </w:pPr>
            <w:r w:rsidRPr="00A4053B">
              <w:rPr>
                <w:b/>
              </w:rPr>
              <w:t xml:space="preserve">Included trials </w:t>
            </w:r>
          </w:p>
          <w:p w:rsidR="00321DBE" w:rsidRPr="00A4053B" w:rsidRDefault="00321DBE" w:rsidP="00C21496">
            <w:pPr>
              <w:pStyle w:val="TableTextDusc"/>
              <w:rPr>
                <w:b/>
              </w:rPr>
            </w:pPr>
            <w:r w:rsidRPr="00A4053B">
              <w:rPr>
                <w:b/>
              </w:rPr>
              <w:t>No. of patients</w:t>
            </w:r>
          </w:p>
        </w:tc>
        <w:tc>
          <w:tcPr>
            <w:tcW w:w="5840" w:type="dxa"/>
            <w:shd w:val="clear" w:color="auto" w:fill="BFBFBF" w:themeFill="background1" w:themeFillShade="BF"/>
          </w:tcPr>
          <w:p w:rsidR="00321DBE" w:rsidRPr="00A4053B" w:rsidRDefault="00321DBE" w:rsidP="00C21496">
            <w:pPr>
              <w:pStyle w:val="TableTextDusc"/>
              <w:rPr>
                <w:b/>
              </w:rPr>
            </w:pPr>
            <w:r w:rsidRPr="00A4053B">
              <w:rPr>
                <w:b/>
              </w:rPr>
              <w:t>Summary of evidence</w:t>
            </w:r>
          </w:p>
        </w:tc>
      </w:tr>
      <w:tr w:rsidR="00321DBE" w:rsidRPr="009F466A" w:rsidTr="00321DBE">
        <w:tc>
          <w:tcPr>
            <w:tcW w:w="9634" w:type="dxa"/>
            <w:gridSpan w:val="3"/>
            <w:shd w:val="clear" w:color="auto" w:fill="000000" w:themeFill="text1"/>
          </w:tcPr>
          <w:p w:rsidR="00321DBE" w:rsidRPr="009F466A" w:rsidRDefault="00321DBE" w:rsidP="00C21496">
            <w:pPr>
              <w:pStyle w:val="TableTextDusc"/>
            </w:pPr>
            <w:r w:rsidRPr="009F466A">
              <w:t>All PAH patients</w:t>
            </w:r>
          </w:p>
        </w:tc>
      </w:tr>
      <w:tr w:rsidR="00321DBE" w:rsidRPr="009F466A" w:rsidTr="003B00E9">
        <w:tc>
          <w:tcPr>
            <w:tcW w:w="1555" w:type="dxa"/>
          </w:tcPr>
          <w:p w:rsidR="00321DBE" w:rsidRPr="009F466A" w:rsidRDefault="00321DBE" w:rsidP="00C21496">
            <w:pPr>
              <w:pStyle w:val="TableTextDusc"/>
            </w:pPr>
            <w:r w:rsidRPr="009F466A">
              <w:t>Clinical worsening</w:t>
            </w:r>
          </w:p>
        </w:tc>
        <w:tc>
          <w:tcPr>
            <w:tcW w:w="2239" w:type="dxa"/>
          </w:tcPr>
          <w:p w:rsidR="00321DBE" w:rsidRPr="009F466A" w:rsidRDefault="00321DBE" w:rsidP="00C21496">
            <w:pPr>
              <w:pStyle w:val="TableTextDusc"/>
            </w:pPr>
            <w:r w:rsidRPr="009F466A">
              <w:t>EARLY</w:t>
            </w:r>
            <w:r w:rsidRPr="009F466A">
              <w:br/>
              <w:t>(bosentan/sildenafil)</w:t>
            </w:r>
          </w:p>
          <w:p w:rsidR="00321DBE" w:rsidRPr="009F466A" w:rsidRDefault="00321DBE" w:rsidP="00C21496">
            <w:pPr>
              <w:pStyle w:val="TableTextDusc"/>
            </w:pPr>
            <w:r w:rsidRPr="009F466A">
              <w:t>COMPASS-2</w:t>
            </w:r>
            <w:r w:rsidRPr="009F466A">
              <w:br/>
              <w:t>(bosentan/sildenafil)</w:t>
            </w:r>
          </w:p>
          <w:p w:rsidR="00321DBE" w:rsidRPr="009F466A" w:rsidRDefault="00321DBE" w:rsidP="00C21496">
            <w:pPr>
              <w:pStyle w:val="TableTextDusc"/>
            </w:pPr>
            <w:r w:rsidRPr="009F466A">
              <w:t>SERAPHIN</w:t>
            </w:r>
            <w:r w:rsidRPr="009F466A">
              <w:br/>
              <w:t>(macitentan/any PDE-5i)</w:t>
            </w:r>
          </w:p>
          <w:p w:rsidR="00321DBE" w:rsidRPr="009F466A" w:rsidRDefault="00321DBE" w:rsidP="00C21496">
            <w:pPr>
              <w:pStyle w:val="TableTextDusc"/>
            </w:pPr>
            <w:r w:rsidRPr="009F466A">
              <w:t>AMBITION</w:t>
            </w:r>
            <w:r w:rsidRPr="009F466A">
              <w:br/>
              <w:t>(ambrisentan/tadalafil)</w:t>
            </w:r>
          </w:p>
          <w:p w:rsidR="00321DBE" w:rsidRPr="009F466A" w:rsidRDefault="00321DBE" w:rsidP="00C21496">
            <w:pPr>
              <w:pStyle w:val="TableTextDusc"/>
            </w:pPr>
            <w:r w:rsidRPr="009F466A">
              <w:t>N=1,124</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A765F3" w:rsidRDefault="00A765F3" w:rsidP="00C21496">
            <w:pPr>
              <w:pStyle w:val="TableTextDusc"/>
              <w:rPr>
                <w:highlight w:val="black"/>
              </w:rPr>
            </w:pPr>
            <w:r>
              <w:rPr>
                <w:noProof/>
                <w:color w:val="000000"/>
                <w:highlight w:val="black"/>
              </w:rPr>
              <w:t>'''''''''''''''''''''''''''''' ''''''''''''' ''''''''''''''''''' ''''''''''''''''''''''''''' ''''''''''''''' '''''''''''''''''''''' ''''''''''' '''''''''''''''''''''''''''''' ''''''''''''''''''' '''''''''''''''''''''''' ''''''''''' '''''''''''''''''''''''''''''''' ''''''''''''''''' '''''''' '''' ''''''''''''' ''''''''''' ''''' ''''''''''' ''''''''''''</w:t>
            </w:r>
          </w:p>
          <w:p w:rsidR="00321DBE" w:rsidRPr="00A765F3" w:rsidRDefault="00A765F3" w:rsidP="00C21496">
            <w:pPr>
              <w:pStyle w:val="TableTextDusc"/>
              <w:rPr>
                <w:highlight w:val="black"/>
              </w:rPr>
            </w:pPr>
            <w:r>
              <w:rPr>
                <w:noProof/>
                <w:color w:val="000000"/>
                <w:highlight w:val="black"/>
              </w:rPr>
              <w:t>'''''''''''''' ''''''''''''' '''''' ''''''''''''''''''''''''' ''''''''''''''''''''''' '''' ''''''''''''''''''''''' ''''''''''''''''''''''''''''''''' ''''''' '''''''' '''''''''''''''''' ''''''''''''''''''''' '''''''''''''''''''''''''''''</w:t>
            </w:r>
          </w:p>
        </w:tc>
      </w:tr>
      <w:tr w:rsidR="00321DBE" w:rsidRPr="009F466A" w:rsidTr="003B00E9">
        <w:tc>
          <w:tcPr>
            <w:tcW w:w="1555" w:type="dxa"/>
          </w:tcPr>
          <w:p w:rsidR="00321DBE" w:rsidRPr="009F466A" w:rsidRDefault="00321DBE" w:rsidP="00C21496">
            <w:pPr>
              <w:pStyle w:val="TableTextDusc"/>
            </w:pPr>
            <w:r w:rsidRPr="009F466A">
              <w:t>All-cause mortality</w:t>
            </w:r>
          </w:p>
        </w:tc>
        <w:tc>
          <w:tcPr>
            <w:tcW w:w="2239" w:type="dxa"/>
          </w:tcPr>
          <w:p w:rsidR="00321DBE" w:rsidRPr="009F466A" w:rsidRDefault="00321DBE" w:rsidP="00C21496">
            <w:pPr>
              <w:pStyle w:val="TableTextDusc"/>
            </w:pPr>
            <w:r w:rsidRPr="009F466A">
              <w:t>EARLY</w:t>
            </w:r>
            <w:r w:rsidRPr="009F466A">
              <w:br/>
              <w:t>(bosentan/sildenafil)</w:t>
            </w:r>
          </w:p>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SERAPHIN</w:t>
            </w:r>
            <w:r w:rsidRPr="009F466A">
              <w:br/>
              <w:t>(macitentan/any PDE-5i)</w:t>
            </w:r>
          </w:p>
          <w:p w:rsidR="00321DBE" w:rsidRPr="009F466A" w:rsidRDefault="00321DBE" w:rsidP="00C21496">
            <w:pPr>
              <w:pStyle w:val="TableTextDusc"/>
            </w:pPr>
            <w:r w:rsidRPr="009F466A">
              <w:t>AMBITION (ambrisentan/tadalafil)</w:t>
            </w:r>
          </w:p>
          <w:p w:rsidR="00321DBE" w:rsidRPr="009F466A" w:rsidRDefault="00321DBE" w:rsidP="00C21496">
            <w:pPr>
              <w:pStyle w:val="TableTextDusc"/>
            </w:pPr>
            <w:r w:rsidRPr="009F466A">
              <w:t>N=1,124</w:t>
            </w:r>
          </w:p>
        </w:tc>
        <w:tc>
          <w:tcPr>
            <w:tcW w:w="5840" w:type="dxa"/>
          </w:tcPr>
          <w:p w:rsidR="00321DBE" w:rsidRPr="009F466A" w:rsidRDefault="00321DBE" w:rsidP="00C21496">
            <w:pPr>
              <w:pStyle w:val="TableTextDusc"/>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eastAsia="Times New Roman" w:hAnsi="Cambria Math" w:cs="Cambria Math"/>
                <w:color w:val="C00000"/>
              </w:rPr>
              <w:t>⨀</w:t>
            </w:r>
            <w:r w:rsidRPr="009F466A">
              <w:t>)</w:t>
            </w:r>
          </w:p>
          <w:p w:rsidR="00321DBE" w:rsidRPr="00A765F3" w:rsidRDefault="00A765F3" w:rsidP="00C21496">
            <w:pPr>
              <w:pStyle w:val="TableTextDusc"/>
              <w:rPr>
                <w:highlight w:val="black"/>
              </w:rPr>
            </w:pPr>
            <w:r>
              <w:rPr>
                <w:noProof/>
                <w:color w:val="000000"/>
                <w:highlight w:val="black"/>
              </w:rPr>
              <w:t>''''''''''''''' '''''''''''''''''' '''''''''' '''''''''''' '''''''' '''''''''''''''' ''''''''' '''''''''''''''''''''''''''''' '''''''''''''''' ''''''''''''''''''''''''' ''''''''' ''''''''''''''''''''''''''''''' '''''''' ''''''' ''''''''''' ''''' ''''''''''''''''''''' '''''''''' ''''''''''''' '''''''''' '''''''''' ''''''' ''''''' ''''''''''''' ''''''''''''''''' ''''''' '''' ''''''''''''' ''''''''''' ''''' ''''''''''''' ''''''''''''</w:t>
            </w:r>
          </w:p>
          <w:p w:rsidR="00321DBE" w:rsidRPr="00A765F3" w:rsidRDefault="00A765F3" w:rsidP="00C21496">
            <w:pPr>
              <w:pStyle w:val="TableTextDusc"/>
              <w:rPr>
                <w:highlight w:val="black"/>
              </w:rPr>
            </w:pPr>
            <w:r>
              <w:rPr>
                <w:noProof/>
                <w:color w:val="000000"/>
                <w:highlight w:val="black"/>
              </w:rPr>
              <w:t>''''''''''''' '''''''''''' ''''' '''''''''''''''''''''''' ''''''''''''''''''''''' ''''' ''''''''''''''''''''''''' '''''''''''''''''''''''''''''''' '''''' '''''''' ''''''''''''''''''' '''''''''''''''''''''''' ''''''''''''''''''''''''''''''''</w:t>
            </w:r>
            <w:r w:rsidR="00321DBE" w:rsidRPr="00A765F3">
              <w:rPr>
                <w:highlight w:val="black"/>
              </w:rPr>
              <w:t xml:space="preserve"> </w:t>
            </w:r>
          </w:p>
        </w:tc>
      </w:tr>
      <w:tr w:rsidR="00321DBE" w:rsidRPr="009F466A" w:rsidTr="003B00E9">
        <w:tc>
          <w:tcPr>
            <w:tcW w:w="1555" w:type="dxa"/>
          </w:tcPr>
          <w:p w:rsidR="00321DBE" w:rsidRPr="009F466A" w:rsidRDefault="00321DBE" w:rsidP="00C21496">
            <w:pPr>
              <w:pStyle w:val="TableTextDusc"/>
            </w:pPr>
            <w:r w:rsidRPr="009F466A">
              <w:t>Hospitalisation due to worsening PAH</w:t>
            </w:r>
          </w:p>
        </w:tc>
        <w:tc>
          <w:tcPr>
            <w:tcW w:w="2239" w:type="dxa"/>
          </w:tcPr>
          <w:p w:rsidR="00321DBE" w:rsidRPr="009F466A" w:rsidRDefault="00321DBE" w:rsidP="00C21496">
            <w:pPr>
              <w:pStyle w:val="TableTextDusc"/>
            </w:pPr>
            <w:r w:rsidRPr="009F466A">
              <w:t>SERAPHIN</w:t>
            </w:r>
            <w:r w:rsidRPr="009F466A">
              <w:br/>
              <w:t>(macitentan/any PDE-5i)</w:t>
            </w:r>
          </w:p>
          <w:p w:rsidR="00321DBE" w:rsidRPr="009F466A" w:rsidRDefault="00321DBE" w:rsidP="00C21496">
            <w:pPr>
              <w:pStyle w:val="TableTextDusc"/>
            </w:pPr>
            <w:r w:rsidRPr="009F466A">
              <w:t>AMBITION (ambrisentan/tadalafil)</w:t>
            </w:r>
          </w:p>
          <w:p w:rsidR="00321DBE" w:rsidRPr="009F466A" w:rsidRDefault="00321DBE" w:rsidP="00C21496">
            <w:pPr>
              <w:pStyle w:val="TableTextDusc"/>
            </w:pPr>
            <w:r w:rsidRPr="009F466A">
              <w:t>N=761</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Significantly fewer patients were hospitalised for worsening PAH with combination therapy compared with monotherapy</w:t>
            </w:r>
            <w:r w:rsidRPr="009F466A" w:rsidDel="00767852">
              <w:t xml:space="preserve"> </w:t>
            </w:r>
            <w:r w:rsidRPr="009F466A">
              <w:t>(pooled RR = 0.67; 95% CI 0.45, 0.98)</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B00E9">
        <w:tc>
          <w:tcPr>
            <w:tcW w:w="1555" w:type="dxa"/>
          </w:tcPr>
          <w:p w:rsidR="00321DBE" w:rsidRPr="009F466A" w:rsidRDefault="00321DBE" w:rsidP="00C21496">
            <w:pPr>
              <w:pStyle w:val="TableTextDusc"/>
            </w:pPr>
            <w:r w:rsidRPr="009F466A">
              <w:t>Improved WHO FC</w:t>
            </w:r>
          </w:p>
        </w:tc>
        <w:tc>
          <w:tcPr>
            <w:tcW w:w="2239" w:type="dxa"/>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AMBITION (ambrisentan/tadalafil)</w:t>
            </w:r>
          </w:p>
          <w:p w:rsidR="00321DBE" w:rsidRPr="009F466A" w:rsidRDefault="00321DBE" w:rsidP="00C21496">
            <w:pPr>
              <w:pStyle w:val="TableTextDusc"/>
            </w:pPr>
            <w:r w:rsidRPr="009F466A">
              <w:t>N=706</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There was little difference in the proportion of patients whose WHO FC improved with combination therapy compared with monotherapy (pooled RR = 1.10; 95% CI 0.85, 1.42)</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B00E9">
        <w:tc>
          <w:tcPr>
            <w:tcW w:w="1555" w:type="dxa"/>
          </w:tcPr>
          <w:p w:rsidR="00321DBE" w:rsidRPr="009F466A" w:rsidRDefault="00321DBE" w:rsidP="00C21496">
            <w:pPr>
              <w:pStyle w:val="TableTextDusc"/>
            </w:pPr>
            <w:r w:rsidRPr="009F466A">
              <w:t>Worsened WHO FC</w:t>
            </w:r>
          </w:p>
        </w:tc>
        <w:tc>
          <w:tcPr>
            <w:tcW w:w="2239" w:type="dxa"/>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N=706</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There was no difference in the proportion of patients whose WHO FC worsened with combination therapy compared with monotherapy (pooled RR = 1.00; 95% CI 0.58, 1.73)</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B00E9">
        <w:tc>
          <w:tcPr>
            <w:tcW w:w="1555" w:type="dxa"/>
          </w:tcPr>
          <w:p w:rsidR="00321DBE" w:rsidRPr="009F466A" w:rsidRDefault="00321DBE" w:rsidP="00C21496">
            <w:pPr>
              <w:pStyle w:val="TableTextDusc"/>
            </w:pPr>
            <w:r w:rsidRPr="009F466A">
              <w:t>Change in 6MWD from baseline</w:t>
            </w:r>
          </w:p>
        </w:tc>
        <w:tc>
          <w:tcPr>
            <w:tcW w:w="2239" w:type="dxa"/>
          </w:tcPr>
          <w:p w:rsidR="00321DBE" w:rsidRPr="009F466A" w:rsidRDefault="00321DBE" w:rsidP="00C21496">
            <w:pPr>
              <w:pStyle w:val="TableTextDusc"/>
            </w:pPr>
            <w:r w:rsidRPr="009F466A">
              <w:t>EARLY</w:t>
            </w:r>
            <w:r w:rsidRPr="009F466A">
              <w:br/>
              <w:t>(bosentan/sildenafil)</w:t>
            </w:r>
          </w:p>
          <w:p w:rsidR="00321DBE" w:rsidRPr="009F466A" w:rsidRDefault="00321DBE" w:rsidP="00C21496">
            <w:pPr>
              <w:pStyle w:val="TableTextDusc"/>
            </w:pPr>
            <w:r w:rsidRPr="009F466A">
              <w:t>COMPASS-2</w:t>
            </w:r>
            <w:r w:rsidRPr="009F466A">
              <w:br/>
              <w:t>(bosentan/sildenafil)</w:t>
            </w:r>
          </w:p>
          <w:p w:rsidR="00321DBE" w:rsidRPr="009F466A" w:rsidRDefault="00321DBE" w:rsidP="00C21496">
            <w:pPr>
              <w:pStyle w:val="TableTextDusc"/>
            </w:pPr>
            <w:r w:rsidRPr="009F466A">
              <w:t>SERAPHIN</w:t>
            </w:r>
            <w:r w:rsidRPr="009F466A">
              <w:br/>
              <w:t>(macitentan/any PDE-5i)</w:t>
            </w:r>
          </w:p>
          <w:p w:rsidR="00321DBE" w:rsidRPr="009F466A" w:rsidRDefault="00321DBE" w:rsidP="00C21496">
            <w:pPr>
              <w:pStyle w:val="TableTextDusc"/>
            </w:pPr>
            <w:r w:rsidRPr="009F466A">
              <w:lastRenderedPageBreak/>
              <w:t xml:space="preserve">AMBITION (ambrisentan/tadalafil) </w:t>
            </w:r>
          </w:p>
          <w:p w:rsidR="00321DBE" w:rsidRPr="009F466A" w:rsidRDefault="00321DBE" w:rsidP="00C21496">
            <w:pPr>
              <w:pStyle w:val="TableTextDusc"/>
            </w:pPr>
            <w:r w:rsidRPr="009F466A">
              <w:t>N=1,046</w:t>
            </w:r>
          </w:p>
        </w:tc>
        <w:tc>
          <w:tcPr>
            <w:tcW w:w="5840" w:type="dxa"/>
          </w:tcPr>
          <w:p w:rsidR="00321DBE" w:rsidRPr="009F466A" w:rsidRDefault="00321DBE" w:rsidP="00C21496">
            <w:pPr>
              <w:pStyle w:val="TableTextDusc"/>
            </w:pPr>
            <w:r w:rsidRPr="009F466A">
              <w:lastRenderedPageBreak/>
              <w:t>Low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hAnsi="Cambria Math" w:cs="Cambria Math"/>
                <w:color w:val="C00000"/>
              </w:rPr>
              <w:t>⨀⨀</w:t>
            </w:r>
            <w:r w:rsidRPr="009F466A">
              <w:t>)</w:t>
            </w:r>
          </w:p>
          <w:p w:rsidR="00321DBE" w:rsidRPr="009F466A" w:rsidRDefault="00321DBE" w:rsidP="00C21496">
            <w:pPr>
              <w:pStyle w:val="TableTextDusc"/>
            </w:pPr>
            <w:r w:rsidRPr="009F466A">
              <w:t>In 3 out of 4 studies, patients on combination therapy had a larger mean improvement in their 6MWD than those on monotherapy, but the difference was not clinically important (range 17.3 m less to 26.3 m walked further)</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B00E9">
        <w:tc>
          <w:tcPr>
            <w:tcW w:w="1555" w:type="dxa"/>
          </w:tcPr>
          <w:p w:rsidR="00321DBE" w:rsidRPr="009F466A" w:rsidRDefault="00321DBE" w:rsidP="00C21496">
            <w:pPr>
              <w:pStyle w:val="TableTextDusc"/>
            </w:pPr>
            <w:r w:rsidRPr="009F466A">
              <w:lastRenderedPageBreak/>
              <w:t>Change in QoL from baseline:</w:t>
            </w:r>
          </w:p>
          <w:p w:rsidR="00321DBE" w:rsidRPr="009F466A" w:rsidRDefault="00321DBE" w:rsidP="00C21496">
            <w:pPr>
              <w:pStyle w:val="TableTextDusc"/>
            </w:pPr>
            <w:r w:rsidRPr="009F466A">
              <w:t xml:space="preserve">SF-36 physical </w:t>
            </w:r>
            <w:proofErr w:type="spellStart"/>
            <w:r w:rsidRPr="009F466A">
              <w:t>component</w:t>
            </w:r>
            <w:r w:rsidRPr="009F466A">
              <w:rPr>
                <w:vertAlign w:val="superscript"/>
              </w:rPr>
              <w:t>a</w:t>
            </w:r>
            <w:proofErr w:type="spellEnd"/>
          </w:p>
        </w:tc>
        <w:tc>
          <w:tcPr>
            <w:tcW w:w="2239" w:type="dxa"/>
          </w:tcPr>
          <w:p w:rsidR="00321DBE" w:rsidRPr="009F466A" w:rsidRDefault="00321DBE" w:rsidP="00C21496">
            <w:pPr>
              <w:pStyle w:val="TableTextDusc"/>
            </w:pPr>
            <w:r w:rsidRPr="009F466A">
              <w:t>SERAPHIN</w:t>
            </w:r>
            <w:r w:rsidRPr="009F466A">
              <w:br/>
              <w:t xml:space="preserve">(macitentan/any PDE-5i) </w:t>
            </w:r>
          </w:p>
          <w:p w:rsidR="00321DBE" w:rsidRPr="009F466A" w:rsidRDefault="00321DBE" w:rsidP="00C21496">
            <w:pPr>
              <w:pStyle w:val="TableTextDusc"/>
            </w:pPr>
            <w:r w:rsidRPr="009F466A">
              <w:t>N=299</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Patients on combination therapy had a larger mean improvement in their QoL than those on monotherapy (MD = 1.4 point improvement; 95% CI 0, 2.9)</w:t>
            </w:r>
          </w:p>
        </w:tc>
      </w:tr>
      <w:tr w:rsidR="00321DBE" w:rsidRPr="009F466A" w:rsidTr="00321DBE">
        <w:tc>
          <w:tcPr>
            <w:tcW w:w="9634" w:type="dxa"/>
            <w:gridSpan w:val="3"/>
            <w:shd w:val="clear" w:color="auto" w:fill="000000" w:themeFill="text1"/>
          </w:tcPr>
          <w:p w:rsidR="00321DBE" w:rsidRPr="009F466A" w:rsidRDefault="00321DBE" w:rsidP="00C21496">
            <w:pPr>
              <w:pStyle w:val="TableTextDusc"/>
            </w:pPr>
            <w:r w:rsidRPr="009F466A">
              <w:t>Patients with WHO FC III/IV PAH</w:t>
            </w:r>
          </w:p>
        </w:tc>
      </w:tr>
      <w:tr w:rsidR="00321DBE" w:rsidRPr="009F466A" w:rsidTr="003B00E9">
        <w:tc>
          <w:tcPr>
            <w:tcW w:w="1555" w:type="dxa"/>
          </w:tcPr>
          <w:p w:rsidR="00321DBE" w:rsidRPr="009F466A" w:rsidRDefault="00321DBE" w:rsidP="00C21496">
            <w:pPr>
              <w:pStyle w:val="TableTextDusc"/>
            </w:pPr>
            <w:r w:rsidRPr="009F466A">
              <w:t>Clinical worsening</w:t>
            </w:r>
          </w:p>
        </w:tc>
        <w:tc>
          <w:tcPr>
            <w:tcW w:w="2239" w:type="dxa"/>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SERAPHIN</w:t>
            </w:r>
            <w:r w:rsidRPr="009F466A">
              <w:br/>
              <w:t xml:space="preserve">(macitentan/any PDE-5i) </w:t>
            </w:r>
          </w:p>
          <w:p w:rsidR="00321DBE" w:rsidRPr="009F466A" w:rsidRDefault="00321DBE" w:rsidP="00C21496">
            <w:pPr>
              <w:pStyle w:val="TableTextDusc"/>
            </w:pPr>
            <w:r w:rsidRPr="009F466A">
              <w:t>N=351</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A765F3" w:rsidRDefault="00A765F3" w:rsidP="00C21496">
            <w:pPr>
              <w:pStyle w:val="TableTextDusc"/>
              <w:rPr>
                <w:highlight w:val="black"/>
              </w:rPr>
            </w:pPr>
            <w:r>
              <w:rPr>
                <w:noProof/>
                <w:color w:val="000000"/>
                <w:highlight w:val="black"/>
              </w:rPr>
              <w:t>'''''''''''''''' ''''''''''''''''''' '''''''''''''''''''''''''''' ''''''''''''''''' '''''''''''''''''''''' '''''''''' '''''''''''''''''''''''''' '''''''''''''''' '''''''''''''''''''''' ''''''''' ''''''''''''''''''''''''''''''''' '''''''' '''''''' '''''''' '''''''' ''''''''''''' '''''''''''''' '''''''''''''''''''''' ''''''''''''''''''''''''''' '''''''''''''''' '''''''' ''' ''''''''''''' '''''''''''' '''''' ''''''''''''' ''''''''''''</w:t>
            </w:r>
          </w:p>
          <w:p w:rsidR="00321DBE" w:rsidRPr="00A765F3" w:rsidRDefault="00A765F3" w:rsidP="00C21496">
            <w:pPr>
              <w:pStyle w:val="TableTextDusc"/>
              <w:rPr>
                <w:highlight w:val="black"/>
              </w:rPr>
            </w:pPr>
            <w:r>
              <w:rPr>
                <w:noProof/>
                <w:color w:val="000000"/>
                <w:highlight w:val="black"/>
              </w:rPr>
              <w:t>''''''''''''''' ''''''''''' '''''' '''''''''''''''''''''' ''''''''''''''''''''''' ''''' ''''''''''''''''''''' ''''''''''''''''''''''''''''''' '''''' ''''''''' ''''''''''''''''''''' '''''''''''''''''''''' ''''''''''''''''''''''''''''''''''</w:t>
            </w:r>
          </w:p>
        </w:tc>
      </w:tr>
      <w:tr w:rsidR="00321DBE" w:rsidRPr="009F466A" w:rsidTr="003B00E9">
        <w:tc>
          <w:tcPr>
            <w:tcW w:w="1555" w:type="dxa"/>
          </w:tcPr>
          <w:p w:rsidR="00321DBE" w:rsidRPr="009F466A" w:rsidRDefault="00321DBE" w:rsidP="00C21496">
            <w:pPr>
              <w:pStyle w:val="TableTextDusc"/>
            </w:pPr>
            <w:r w:rsidRPr="009F466A">
              <w:t>All-cause mortality</w:t>
            </w:r>
          </w:p>
        </w:tc>
        <w:tc>
          <w:tcPr>
            <w:tcW w:w="2239" w:type="dxa"/>
          </w:tcPr>
          <w:p w:rsidR="00321DBE" w:rsidRPr="009F466A" w:rsidRDefault="00321DBE" w:rsidP="00C21496">
            <w:pPr>
              <w:pStyle w:val="TableTextDusc"/>
            </w:pPr>
            <w:r w:rsidRPr="009F466A">
              <w:t>SERAPHIN</w:t>
            </w:r>
            <w:r w:rsidRPr="009F466A">
              <w:br/>
              <w:t xml:space="preserve">(macitentan/any PDE-5i) </w:t>
            </w:r>
          </w:p>
          <w:p w:rsidR="00321DBE" w:rsidRPr="009F466A" w:rsidRDefault="00321DBE" w:rsidP="00C21496">
            <w:pPr>
              <w:pStyle w:val="TableTextDusc"/>
            </w:pPr>
            <w:r w:rsidRPr="009F466A">
              <w:t>N=157</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A765F3" w:rsidRDefault="00A765F3" w:rsidP="00C21496">
            <w:pPr>
              <w:pStyle w:val="TableTextDusc"/>
              <w:rPr>
                <w:highlight w:val="black"/>
              </w:rPr>
            </w:pPr>
            <w:r>
              <w:rPr>
                <w:noProof/>
                <w:color w:val="000000"/>
                <w:highlight w:val="black"/>
              </w:rPr>
              <w:t>'''''''''''''''' ''''''''''''''''''''' '''''''''' ''''''''''' ''''''''' '''''''''''''''' '''''''''' ''''''''''''''''''''''''''''' ''''''''''''''''' '''''''''''''''''''''' ''''''''' '''''''''''''''''''''''''''''''' '''''''' ''''''' ''''''''''' '''''' ''''''''''''''''''' ''''''''' ''''''''''''' ''''''''''' ''''''''''' ''''''' '''''' ''''''''''''''' ''''' ''''''' '''''''''''''''''' ''''''''''''''''''''' ''''''''' ''' ''''''''''' '''''''''' '''''' ''''''''''' '''''''''''''</w:t>
            </w:r>
          </w:p>
        </w:tc>
      </w:tr>
      <w:tr w:rsidR="00321DBE" w:rsidRPr="009F466A" w:rsidTr="00321DBE">
        <w:tc>
          <w:tcPr>
            <w:tcW w:w="9634" w:type="dxa"/>
            <w:gridSpan w:val="3"/>
            <w:shd w:val="clear" w:color="auto" w:fill="000000" w:themeFill="text1"/>
          </w:tcPr>
          <w:p w:rsidR="00321DBE" w:rsidRPr="009F466A" w:rsidRDefault="00321DBE" w:rsidP="00C21496">
            <w:pPr>
              <w:pStyle w:val="TableTextDusc"/>
            </w:pPr>
            <w:r w:rsidRPr="009F466A">
              <w:t>Patients with different PAH aetiologies</w:t>
            </w:r>
          </w:p>
        </w:tc>
      </w:tr>
      <w:tr w:rsidR="00321DBE" w:rsidRPr="009F466A" w:rsidTr="003B00E9">
        <w:tc>
          <w:tcPr>
            <w:tcW w:w="1555" w:type="dxa"/>
          </w:tcPr>
          <w:p w:rsidR="00321DBE" w:rsidRPr="009F466A" w:rsidRDefault="00321DBE" w:rsidP="00C21496">
            <w:pPr>
              <w:pStyle w:val="TableTextDusc"/>
            </w:pPr>
            <w:r w:rsidRPr="009F466A">
              <w:rPr>
                <w:rFonts w:cs="Tahoma"/>
              </w:rPr>
              <w:t>Clinical worsening in IPAH/HPAH</w:t>
            </w:r>
          </w:p>
        </w:tc>
        <w:tc>
          <w:tcPr>
            <w:tcW w:w="2239" w:type="dxa"/>
          </w:tcPr>
          <w:p w:rsidR="00321DBE" w:rsidRPr="009F466A" w:rsidRDefault="00321DBE" w:rsidP="00C21496">
            <w:pPr>
              <w:pStyle w:val="TableTextDusc"/>
            </w:pPr>
            <w:r w:rsidRPr="009F466A">
              <w:t xml:space="preserve">COMPASS-2 (bosentan/sildenafil) </w:t>
            </w:r>
          </w:p>
          <w:p w:rsidR="00321DBE" w:rsidRPr="009F466A" w:rsidRDefault="00321DBE" w:rsidP="00C21496">
            <w:pPr>
              <w:pStyle w:val="TableTextDusc"/>
            </w:pPr>
            <w:r w:rsidRPr="009F466A">
              <w:t>N=226</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Fewer patients experienced clinical worsening with combination therapy compared with monotherapy, but the 95% CI indicates that there may also be an effect in the opposite direction (HR = 0.82; 95% CI 0.55, 1.21)</w:t>
            </w:r>
          </w:p>
        </w:tc>
      </w:tr>
      <w:tr w:rsidR="00321DBE" w:rsidRPr="009F466A" w:rsidTr="003B00E9">
        <w:tc>
          <w:tcPr>
            <w:tcW w:w="1555" w:type="dxa"/>
          </w:tcPr>
          <w:p w:rsidR="00321DBE" w:rsidRPr="009F466A" w:rsidRDefault="00321DBE" w:rsidP="00C21496">
            <w:pPr>
              <w:pStyle w:val="TableTextDusc"/>
            </w:pPr>
            <w:r w:rsidRPr="009F466A">
              <w:rPr>
                <w:rFonts w:cs="Tahoma"/>
              </w:rPr>
              <w:t>Clinical worsening in PAH CTD</w:t>
            </w:r>
          </w:p>
        </w:tc>
        <w:tc>
          <w:tcPr>
            <w:tcW w:w="2239" w:type="dxa"/>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N=231</w:t>
            </w:r>
          </w:p>
        </w:tc>
        <w:tc>
          <w:tcPr>
            <w:tcW w:w="5840"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Could not calculate RR due to missing numerator in one arm of one study</w:t>
            </w:r>
          </w:p>
          <w:p w:rsidR="00321DBE" w:rsidRPr="009F466A" w:rsidRDefault="00321DBE" w:rsidP="00C21496">
            <w:pPr>
              <w:pStyle w:val="TableTextDusc"/>
            </w:pPr>
            <w:r w:rsidRPr="009F466A">
              <w:t>Fewer patients experienced clinical worsening with combination therapy compared with monotherapy, but this did not quite reach statistical significance (pooled HR = 0.59; 95% CI 0.12, 1.07)</w:t>
            </w:r>
          </w:p>
        </w:tc>
      </w:tr>
      <w:tr w:rsidR="00321DBE" w:rsidRPr="009F466A" w:rsidTr="003B00E9">
        <w:tc>
          <w:tcPr>
            <w:tcW w:w="1555" w:type="dxa"/>
          </w:tcPr>
          <w:p w:rsidR="00321DBE" w:rsidRPr="009F466A" w:rsidRDefault="00321DBE" w:rsidP="00C21496">
            <w:pPr>
              <w:pStyle w:val="TableTextDusc"/>
            </w:pPr>
            <w:r w:rsidRPr="009F466A">
              <w:rPr>
                <w:rFonts w:cs="Tahoma"/>
              </w:rPr>
              <w:t>Clinical worsening in PAH-CHD</w:t>
            </w:r>
          </w:p>
        </w:tc>
        <w:tc>
          <w:tcPr>
            <w:tcW w:w="2239" w:type="dxa"/>
          </w:tcPr>
          <w:p w:rsidR="00321DBE" w:rsidRPr="009F466A" w:rsidRDefault="00321DBE" w:rsidP="00C21496">
            <w:pPr>
              <w:pStyle w:val="TableTextDusc"/>
            </w:pPr>
            <w:r w:rsidRPr="009F466A">
              <w:t xml:space="preserve">COMPASS-2 (bosentan/sildenafil) </w:t>
            </w:r>
          </w:p>
          <w:p w:rsidR="00321DBE" w:rsidRPr="009F466A" w:rsidRDefault="00321DBE" w:rsidP="00C21496">
            <w:pPr>
              <w:pStyle w:val="TableTextDusc"/>
            </w:pPr>
            <w:r w:rsidRPr="009F466A">
              <w:t>N=20</w:t>
            </w:r>
          </w:p>
        </w:tc>
        <w:tc>
          <w:tcPr>
            <w:tcW w:w="5840" w:type="dxa"/>
          </w:tcPr>
          <w:p w:rsidR="00321DBE" w:rsidRPr="009F466A" w:rsidRDefault="00321DBE" w:rsidP="00C21496">
            <w:pPr>
              <w:pStyle w:val="TableTextDusc"/>
            </w:pPr>
            <w:r w:rsidRPr="009F466A">
              <w:t>Low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hAnsi="Cambria Math" w:cs="Cambria Math"/>
                <w:bCs/>
                <w:color w:val="C0000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Dusc"/>
            </w:pPr>
            <w:r w:rsidRPr="009F466A">
              <w:t>Fewer patients experienced clinical worsening with combination therapy compared with monotherapy, but the wide 95% CI indicates that the study was underpowered for this outcome (HR = 0.57; 95% CI 0.10, 3.17)</w:t>
            </w:r>
          </w:p>
        </w:tc>
      </w:tr>
    </w:tbl>
    <w:p w:rsidR="00321DBE" w:rsidRPr="00532B79" w:rsidRDefault="00321DBE" w:rsidP="00C21496">
      <w:pPr>
        <w:pStyle w:val="Tablenote"/>
        <w:jc w:val="left"/>
      </w:pPr>
      <w:proofErr w:type="gramStart"/>
      <w:r w:rsidRPr="00532B79">
        <w:t>a</w:t>
      </w:r>
      <w:proofErr w:type="gramEnd"/>
      <w:r w:rsidRPr="00532B79">
        <w:t xml:space="preserve"> SF-36 physical component summary scores range from 0 to 100. A higher score indicates better QoL. </w:t>
      </w:r>
    </w:p>
    <w:p w:rsidR="00321DBE" w:rsidRPr="00532B79" w:rsidRDefault="00321DBE" w:rsidP="00C21496">
      <w:pPr>
        <w:pStyle w:val="Tablenote"/>
        <w:jc w:val="left"/>
      </w:pPr>
      <w:r w:rsidRPr="00532B79">
        <w:t>6MWD = 6-minute walk distance; CI = confidence interval; ERA = endothelin receptor antagonist; FC = functional class; GRADE = grading of recommendations assessment, development and evaluation1; HPAH = heritable PAH; HR = hazard ratio; IPAH = idiopathic PAH; MD = mean difference; PAH = pulmonary arterial hypertension; PAH-CHD = PAH associated with congenital heart disease; PAH-CTD = PAH associated with connective tissue disease; PDE-5 = phosphodiesterase type-5; QoL = quality of life; RR = relative risk; SF-36 = short form 36; WHO = World Health Organization</w:t>
      </w:r>
    </w:p>
    <w:p w:rsidR="0016033A" w:rsidRPr="0016033A" w:rsidRDefault="0016033A" w:rsidP="00C21496">
      <w:pPr>
        <w:pStyle w:val="Heading5"/>
        <w:keepLines w:val="0"/>
        <w:numPr>
          <w:ilvl w:val="0"/>
          <w:numId w:val="0"/>
        </w:numPr>
        <w:spacing w:before="240"/>
        <w:jc w:val="left"/>
        <w:rPr>
          <w:color w:val="auto"/>
          <w:u w:val="single"/>
        </w:rPr>
      </w:pPr>
      <w:bookmarkStart w:id="79" w:name="_Ref505951366"/>
      <w:bookmarkStart w:id="80" w:name="_Toc508396839"/>
      <w:r w:rsidRPr="0016033A">
        <w:rPr>
          <w:color w:val="auto"/>
          <w:u w:val="single"/>
        </w:rPr>
        <w:t>Safety</w:t>
      </w:r>
    </w:p>
    <w:p w:rsidR="0016033A" w:rsidRDefault="0016033A" w:rsidP="00C21496">
      <w:pPr>
        <w:jc w:val="left"/>
      </w:pPr>
      <w:r>
        <w:t>Three RCTs reported on the comparative safety of treatment with an ERA plus a PDE-5 inhibitor compared with a PDE-5 inhibitor alone in any patient with PAH:</w:t>
      </w:r>
    </w:p>
    <w:p w:rsidR="0016033A" w:rsidRPr="00B96C6F" w:rsidRDefault="0016033A" w:rsidP="00C21496">
      <w:pPr>
        <w:pStyle w:val="Bullettext"/>
        <w:ind w:left="720"/>
      </w:pPr>
      <w:r w:rsidRPr="00B96C6F">
        <w:lastRenderedPageBreak/>
        <w:t>COMPASS-2, SERAPHIN and AMBITION</w:t>
      </w:r>
    </w:p>
    <w:p w:rsidR="0016033A" w:rsidRPr="00B96C6F" w:rsidRDefault="0016033A" w:rsidP="00C21496">
      <w:pPr>
        <w:pStyle w:val="Bullettext"/>
        <w:ind w:left="720"/>
      </w:pPr>
      <w:r w:rsidRPr="00B96C6F">
        <w:t xml:space="preserve">There were no new </w:t>
      </w:r>
      <w:r>
        <w:t>safety signals identified.</w:t>
      </w:r>
    </w:p>
    <w:p w:rsidR="0016033A" w:rsidRDefault="0016033A" w:rsidP="00C21496">
      <w:pPr>
        <w:jc w:val="left"/>
      </w:pPr>
      <w:r>
        <w:t xml:space="preserve">The evidence provided by these trials is summarised in </w:t>
      </w:r>
      <w:r w:rsidR="00CC79E1">
        <w:t>Table ES.</w:t>
      </w:r>
      <w:r w:rsidR="00CC79E1">
        <w:rPr>
          <w:noProof/>
        </w:rPr>
        <w:t>10</w:t>
      </w:r>
      <w:r>
        <w:t>.</w:t>
      </w:r>
    </w:p>
    <w:p w:rsidR="0016033A" w:rsidRDefault="0016033A" w:rsidP="00C21496">
      <w:pPr>
        <w:jc w:val="left"/>
      </w:pPr>
      <w:r>
        <w:t>Overall, use of</w:t>
      </w:r>
      <w:r w:rsidRPr="009A6001">
        <w:t xml:space="preserve"> an ERA in addition to </w:t>
      </w:r>
      <w:r>
        <w:t xml:space="preserve">a </w:t>
      </w:r>
      <w:r w:rsidRPr="009A6001">
        <w:t>PDE-5 inhibitor</w:t>
      </w:r>
      <w:r>
        <w:t xml:space="preserve"> could be non-inferior to </w:t>
      </w:r>
      <w:r w:rsidRPr="009A6001">
        <w:t xml:space="preserve">PDE-5 inhibitor monotherapy </w:t>
      </w:r>
      <w:r>
        <w:t xml:space="preserve">in terms of safety </w:t>
      </w:r>
      <w:r w:rsidRPr="009A6001">
        <w:t>when treating PAH patients.</w:t>
      </w:r>
      <w:r>
        <w:t xml:space="preserve"> The comparative safety of an ERA plus a PDE-5 inhibitor relative to PDE-5 inhibitor monotherapy in the subgroup of </w:t>
      </w:r>
      <w:r w:rsidRPr="00FD4377">
        <w:t xml:space="preserve">patients with </w:t>
      </w:r>
      <w:r>
        <w:t>I</w:t>
      </w:r>
      <w:r w:rsidRPr="00FD4377">
        <w:t>PAH</w:t>
      </w:r>
      <w:r>
        <w:t>/HPAH and in the subgroup of patients with PAH-CTD appeared to be largely consistent with the comparative safety in the overall PAH population.</w:t>
      </w:r>
    </w:p>
    <w:p w:rsidR="008B580D" w:rsidRPr="008B580D" w:rsidRDefault="008B580D" w:rsidP="00C21496">
      <w:pPr>
        <w:pStyle w:val="Caption"/>
        <w:jc w:val="left"/>
      </w:pPr>
      <w:bookmarkStart w:id="81" w:name="_Ref511118789"/>
      <w:bookmarkStart w:id="82" w:name="_Toc513108454"/>
      <w:bookmarkEnd w:id="79"/>
      <w:bookmarkEnd w:id="80"/>
      <w:r>
        <w:t>Table ES.</w:t>
      </w:r>
      <w:r w:rsidR="00CC79E1">
        <w:rPr>
          <w:noProof/>
        </w:rPr>
        <w:t>10</w:t>
      </w:r>
      <w:bookmarkEnd w:id="81"/>
      <w:r>
        <w:tab/>
      </w:r>
      <w:r w:rsidRPr="009F466A">
        <w:t>Summary of the evidence for the safety of an ERA in addition to a PDE-5 inhibitor, relative to PDE-5 inhibitor monotherapy</w:t>
      </w:r>
      <w:bookmarkEnd w:id="82"/>
    </w:p>
    <w:tbl>
      <w:tblPr>
        <w:tblStyle w:val="TableGrid"/>
        <w:tblW w:w="9634" w:type="dxa"/>
        <w:tblLook w:val="04A0" w:firstRow="1" w:lastRow="0" w:firstColumn="1" w:lastColumn="0" w:noHBand="0" w:noVBand="1"/>
        <w:tblCaption w:val="Summary of the evidence for the safety of an ERA in addition to a PDE-5 inhibitor, relative to PDE-5 inhibitor monotherapy"/>
      </w:tblPr>
      <w:tblGrid>
        <w:gridCol w:w="1555"/>
        <w:gridCol w:w="2195"/>
        <w:gridCol w:w="5884"/>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 xml:space="preserve">Included trials </w:t>
            </w:r>
          </w:p>
          <w:p w:rsidR="00321DBE" w:rsidRPr="00A4053B" w:rsidRDefault="00321DBE" w:rsidP="00C21496">
            <w:pPr>
              <w:pStyle w:val="TableTextDusc"/>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All PAH patients</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Any AE</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 xml:space="preserve">COMPASS-2 (bosentan/sildenafil) </w:t>
            </w:r>
          </w:p>
          <w:p w:rsidR="00321DBE" w:rsidRPr="009F466A" w:rsidRDefault="00321DBE" w:rsidP="00C21496">
            <w:pPr>
              <w:pStyle w:val="TableTextDusc"/>
            </w:pPr>
            <w:r w:rsidRPr="009F466A">
              <w:t>N=333</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The proportion of patients who had any AE was the same for both the combination therapy and monotherapy arms (RR = 0.99; 95% CI 0.93, 1.06)</w:t>
            </w:r>
          </w:p>
        </w:tc>
      </w:tr>
      <w:tr w:rsidR="00321DBE" w:rsidRPr="009F466A" w:rsidTr="00321DBE">
        <w:tc>
          <w:tcPr>
            <w:tcW w:w="1555" w:type="dxa"/>
          </w:tcPr>
          <w:p w:rsidR="00321DBE" w:rsidRPr="009F466A" w:rsidRDefault="00321DBE" w:rsidP="00C21496">
            <w:pPr>
              <w:pStyle w:val="TableTextDusc"/>
            </w:pPr>
            <w:r w:rsidRPr="009F466A">
              <w:t>Serious AEs</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N=705</w:t>
            </w:r>
          </w:p>
        </w:tc>
        <w:tc>
          <w:tcPr>
            <w:tcW w:w="6095"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Significantly fewer patients had a serious AE with combination therapy compared with monotherapy (pooled RR = 0.82; 95% CI 0.69, 0.96)</w:t>
            </w:r>
          </w:p>
        </w:tc>
      </w:tr>
      <w:tr w:rsidR="00321DBE" w:rsidRPr="009F466A" w:rsidTr="00321DBE">
        <w:tc>
          <w:tcPr>
            <w:tcW w:w="1555" w:type="dxa"/>
          </w:tcPr>
          <w:p w:rsidR="00321DBE" w:rsidRPr="009F466A" w:rsidRDefault="00321DBE" w:rsidP="00C21496">
            <w:pPr>
              <w:pStyle w:val="TableTextDusc"/>
            </w:pPr>
            <w:r w:rsidRPr="009F466A">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COMPASS-2 (bosentan/sildenafil)</w:t>
            </w:r>
          </w:p>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N=705</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More patients had an AE leading to treatment discontinuation with combination therapy compared with monotherapy, but the 95% CI indicates that there could also be an effect in the opposite direction (pooled RR = 1.47; 95% CI 0.81, 2.66)</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Patients with IPAH/HPAH</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rPr>
                <w:rFonts w:cs="Tahoma"/>
              </w:rPr>
              <w:t>Any AE in IPAH/HPAH</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(ambrisentan/tadalafil)</w:t>
            </w:r>
          </w:p>
          <w:p w:rsidR="00321DBE" w:rsidRPr="009F466A" w:rsidRDefault="00321DBE" w:rsidP="00C21496">
            <w:pPr>
              <w:pStyle w:val="TableTextDusc"/>
            </w:pPr>
            <w:r w:rsidRPr="009F466A">
              <w:t>N=204</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The proportion of patients who had any AE was the same for both the combination therapy and monotherapy arms (RR = 1.04; 95% CI 0.97, 1.12)</w:t>
            </w:r>
          </w:p>
        </w:tc>
      </w:tr>
      <w:tr w:rsidR="00321DBE" w:rsidRPr="009F466A" w:rsidTr="00321DBE">
        <w:tc>
          <w:tcPr>
            <w:tcW w:w="1555" w:type="dxa"/>
          </w:tcPr>
          <w:p w:rsidR="00321DBE" w:rsidRPr="009F466A" w:rsidRDefault="00321DBE" w:rsidP="00C21496">
            <w:pPr>
              <w:pStyle w:val="TableTextDusc"/>
            </w:pPr>
            <w:r w:rsidRPr="009F466A">
              <w:rPr>
                <w:rFonts w:cs="Tahoma"/>
              </w:rPr>
              <w:t>Serious AEs in IPAH/HPAH</w:t>
            </w:r>
          </w:p>
        </w:tc>
        <w:tc>
          <w:tcPr>
            <w:tcW w:w="1984" w:type="dxa"/>
          </w:tcPr>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N=204</w:t>
            </w:r>
          </w:p>
        </w:tc>
        <w:tc>
          <w:tcPr>
            <w:tcW w:w="6095"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Fewer patients had a serious AE with combination therapy compared with monotherapy, but the 95% CI indicates that there could also be an effect in the opposite direction (RR = 0.85; 95% CI 0.58, 1.25)</w:t>
            </w:r>
          </w:p>
        </w:tc>
      </w:tr>
      <w:tr w:rsidR="00321DBE" w:rsidRPr="009F466A" w:rsidTr="00321DBE">
        <w:tc>
          <w:tcPr>
            <w:tcW w:w="1555" w:type="dxa"/>
          </w:tcPr>
          <w:p w:rsidR="00321DBE" w:rsidRPr="009F466A" w:rsidRDefault="00321DBE" w:rsidP="00C21496">
            <w:pPr>
              <w:pStyle w:val="TableTextDusc"/>
            </w:pPr>
            <w:r w:rsidRPr="009F466A">
              <w:rPr>
                <w:rFonts w:cs="Tahoma"/>
              </w:rPr>
              <w:t>AEs leading to treatment discontinuation in IPAH/HPAH</w:t>
            </w:r>
          </w:p>
        </w:tc>
        <w:tc>
          <w:tcPr>
            <w:tcW w:w="1984" w:type="dxa"/>
          </w:tcPr>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N=204</w:t>
            </w:r>
          </w:p>
        </w:tc>
        <w:tc>
          <w:tcPr>
            <w:tcW w:w="6095" w:type="dxa"/>
          </w:tcPr>
          <w:p w:rsidR="00321DBE" w:rsidRPr="009F466A" w:rsidRDefault="00321DBE" w:rsidP="00C21496">
            <w:pPr>
              <w:pStyle w:val="TableTextDusc"/>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Dusc"/>
            </w:pPr>
            <w:r w:rsidRPr="009F466A">
              <w:t>The proportion of patients who had an AE leading to treatment discontinuation was the same for both the combination therapy and monotherapy (RR = 0.98; 95% CI 0.44, 2.20)</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Patients with PAH-CTD</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rPr>
                <w:rFonts w:cs="Tahoma"/>
              </w:rPr>
              <w:t>Any AE in PAH-CTD</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N=143</w:t>
            </w:r>
          </w:p>
        </w:tc>
        <w:tc>
          <w:tcPr>
            <w:tcW w:w="6095"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 xml:space="preserve">The proportion of patients who had any AE was the same for both the combination therapy and monotherapy arms (RR = </w:t>
            </w:r>
            <w:r w:rsidRPr="009F466A">
              <w:lastRenderedPageBreak/>
              <w:t>1.02; 95% CI 0.96, 1.07)</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rPr>
                <w:rFonts w:cs="Tahoma"/>
              </w:rPr>
              <w:lastRenderedPageBreak/>
              <w:t>Serious AEs in PAH-CTD</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N=143</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Fewer patients had a serious AE with combination therapy compared with monotherapy, but the 95% CI indicates that there could also be an effect in the opposite direction (RR = 0.87; 95% CI 0.60, 1.28)</w:t>
            </w:r>
          </w:p>
        </w:tc>
      </w:tr>
      <w:tr w:rsidR="00321DBE" w:rsidRPr="009F466A" w:rsidTr="00321DBE">
        <w:tc>
          <w:tcPr>
            <w:tcW w:w="1555" w:type="dxa"/>
          </w:tcPr>
          <w:p w:rsidR="00321DBE" w:rsidRPr="009F466A" w:rsidRDefault="00321DBE" w:rsidP="00C21496">
            <w:pPr>
              <w:pStyle w:val="TableTextDusc"/>
            </w:pPr>
            <w:r w:rsidRPr="009F466A">
              <w:rPr>
                <w:rFonts w:cs="Tahoma"/>
              </w:rPr>
              <w:t>AEs leading to treatment discontinuation in PAH-CTD</w:t>
            </w:r>
          </w:p>
        </w:tc>
        <w:tc>
          <w:tcPr>
            <w:tcW w:w="1984" w:type="dxa"/>
          </w:tcPr>
          <w:p w:rsidR="00321DBE" w:rsidRPr="009F466A" w:rsidRDefault="00321DBE" w:rsidP="00C21496">
            <w:pPr>
              <w:pStyle w:val="TableTextDusc"/>
            </w:pPr>
            <w:r w:rsidRPr="009F466A">
              <w:t xml:space="preserve">AMBITION (ambrisentan/tadalafil) </w:t>
            </w:r>
          </w:p>
          <w:p w:rsidR="00321DBE" w:rsidRPr="009F466A" w:rsidRDefault="00321DBE" w:rsidP="00C21496">
            <w:pPr>
              <w:pStyle w:val="TableTextDusc"/>
            </w:pPr>
            <w:r w:rsidRPr="009F466A">
              <w:t>N=143</w:t>
            </w:r>
          </w:p>
        </w:tc>
        <w:tc>
          <w:tcPr>
            <w:tcW w:w="6095" w:type="dxa"/>
          </w:tcPr>
          <w:p w:rsidR="00321DBE" w:rsidRPr="009F466A" w:rsidRDefault="00321DBE" w:rsidP="00C21496">
            <w:pPr>
              <w:pStyle w:val="TableTextDusc"/>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Dusc"/>
            </w:pPr>
            <w:r w:rsidRPr="009F466A">
              <w:t>Fewer patients had an AE leading to treatment discontinuation with combination therapy compared with monotherapy, but the 95% CI indicates that there could also be an effect in the opposite direction (RR = 0.91; 95% CI 0.37, 2.19)</w:t>
            </w:r>
          </w:p>
        </w:tc>
      </w:tr>
    </w:tbl>
    <w:p w:rsidR="00321DBE" w:rsidRPr="00532B79" w:rsidRDefault="00321DBE" w:rsidP="00C21496">
      <w:pPr>
        <w:pStyle w:val="Tablenote"/>
        <w:jc w:val="left"/>
      </w:pPr>
      <w:r w:rsidRPr="00532B79">
        <w:t>AE = adverse event; CI = confidence interval; ERA = endothelin receptor antagonist; GRADE = grading of recommendations assessment, development and evaluation1; HPAH = heritable PAH; IPAH = idiopathic PAH; PAH = pulmonary arterial hypertension; PAH-CTD = PAH associated with connective tissue disease; PDE-5 = phosphodiesterase type-5; RR = relative risk</w:t>
      </w:r>
    </w:p>
    <w:p w:rsidR="00321DBE" w:rsidRPr="009F466A" w:rsidRDefault="00321DBE" w:rsidP="00C21496">
      <w:pPr>
        <w:pStyle w:val="Heading4"/>
      </w:pPr>
      <w:r w:rsidRPr="009F466A">
        <w:t>ERA in addition to prostanoid</w:t>
      </w:r>
    </w:p>
    <w:p w:rsidR="0016033A" w:rsidRPr="0016033A" w:rsidRDefault="0016033A" w:rsidP="00C21496">
      <w:pPr>
        <w:pStyle w:val="Heading5"/>
        <w:keepLines w:val="0"/>
        <w:numPr>
          <w:ilvl w:val="0"/>
          <w:numId w:val="0"/>
        </w:numPr>
        <w:spacing w:before="240"/>
        <w:jc w:val="left"/>
        <w:rPr>
          <w:color w:val="auto"/>
          <w:u w:val="single"/>
        </w:rPr>
      </w:pPr>
      <w:bookmarkStart w:id="83" w:name="_Ref505953962"/>
      <w:bookmarkStart w:id="84" w:name="_Toc508396840"/>
      <w:r w:rsidRPr="0016033A">
        <w:rPr>
          <w:color w:val="auto"/>
          <w:u w:val="single"/>
        </w:rPr>
        <w:t>Clinical effectiveness</w:t>
      </w:r>
    </w:p>
    <w:p w:rsidR="0016033A" w:rsidRPr="00C77B6A" w:rsidRDefault="0016033A" w:rsidP="00C21496">
      <w:pPr>
        <w:spacing w:after="40"/>
        <w:jc w:val="left"/>
      </w:pPr>
      <w:r w:rsidRPr="00C77B6A">
        <w:t xml:space="preserve">Two RCTs reported on the effectiveness of an ERA in addition to </w:t>
      </w:r>
      <w:r w:rsidRPr="0017012F">
        <w:t xml:space="preserve">prostanoid </w:t>
      </w:r>
      <w:r>
        <w:t xml:space="preserve">therapy </w:t>
      </w:r>
      <w:r w:rsidRPr="00C77B6A">
        <w:t>in treating PAH compared with place</w:t>
      </w:r>
      <w:r>
        <w:t xml:space="preserve">bo plus a </w:t>
      </w:r>
      <w:r w:rsidRPr="0017012F">
        <w:t>prostanoid</w:t>
      </w:r>
      <w:r>
        <w:t>:</w:t>
      </w:r>
    </w:p>
    <w:p w:rsidR="0016033A" w:rsidRPr="00550EA7" w:rsidRDefault="0016033A" w:rsidP="00C21496">
      <w:pPr>
        <w:pStyle w:val="Bullettext"/>
        <w:ind w:left="720"/>
        <w:rPr>
          <w:bCs/>
        </w:rPr>
      </w:pPr>
      <w:r w:rsidRPr="00C77B6A">
        <w:t xml:space="preserve">BREATHE-2 enrolled treatment-naïve patients with </w:t>
      </w:r>
      <w:r>
        <w:t>WHO</w:t>
      </w:r>
      <w:r w:rsidRPr="00C77B6A">
        <w:t xml:space="preserve"> FC III/IV PAH </w:t>
      </w:r>
      <w:r>
        <w:t>to receive combination therapy or monotherapy</w:t>
      </w:r>
    </w:p>
    <w:p w:rsidR="0016033A" w:rsidRPr="00550EA7" w:rsidRDefault="0016033A" w:rsidP="00C21496">
      <w:pPr>
        <w:pStyle w:val="Bullettext"/>
        <w:ind w:left="720"/>
        <w:rPr>
          <w:bCs/>
        </w:rPr>
      </w:pPr>
      <w:r w:rsidRPr="00C77B6A">
        <w:t>Han 2017</w:t>
      </w:r>
      <w:r>
        <w:t xml:space="preserve"> enrolled</w:t>
      </w:r>
      <w:r w:rsidRPr="00C77B6A">
        <w:t xml:space="preserve"> treatment-naïve </w:t>
      </w:r>
      <w:r>
        <w:t xml:space="preserve">patients with WHO FC III/IV PAH to receive </w:t>
      </w:r>
      <w:r w:rsidRPr="00C77B6A">
        <w:t>combination therapy</w:t>
      </w:r>
      <w:r>
        <w:t xml:space="preserve"> or monotherapy</w:t>
      </w:r>
    </w:p>
    <w:p w:rsidR="0016033A" w:rsidRDefault="0016033A" w:rsidP="00C21496">
      <w:pPr>
        <w:jc w:val="left"/>
      </w:pPr>
      <w:r w:rsidRPr="00C10642">
        <w:t xml:space="preserve">The evidence provided by these trials for patients with WHO FC III/IV PAH is summarised in </w:t>
      </w:r>
      <w:r w:rsidR="00CC79E1">
        <w:t>Table ES.</w:t>
      </w:r>
      <w:r w:rsidR="00CC79E1">
        <w:rPr>
          <w:noProof/>
        </w:rPr>
        <w:t>11</w:t>
      </w:r>
      <w:r w:rsidRPr="00C10642">
        <w:t>.</w:t>
      </w:r>
    </w:p>
    <w:p w:rsidR="0016033A" w:rsidRDefault="0016033A" w:rsidP="00C21496">
      <w:pPr>
        <w:jc w:val="left"/>
      </w:pPr>
      <w:r>
        <w:t xml:space="preserve">Overall, </w:t>
      </w:r>
      <w:r w:rsidRPr="001E5DED">
        <w:t>the</w:t>
      </w:r>
      <w:r>
        <w:t xml:space="preserve">re is uncertainty as to whether </w:t>
      </w:r>
      <w:r w:rsidRPr="001E5DED">
        <w:t>an ERA in addition to prostanoid</w:t>
      </w:r>
      <w:r>
        <w:t xml:space="preserve"> therapy</w:t>
      </w:r>
      <w:r w:rsidRPr="001E5DED">
        <w:t>, relative to prostanoid monotherapy</w:t>
      </w:r>
      <w:r>
        <w:t>,</w:t>
      </w:r>
      <w:r w:rsidRPr="001E5DED">
        <w:t xml:space="preserve"> </w:t>
      </w:r>
      <w:r>
        <w:t xml:space="preserve">is beneficial in </w:t>
      </w:r>
      <w:r w:rsidRPr="001E5DED">
        <w:t>patients with WHO FC III/IV PAH</w:t>
      </w:r>
      <w:r w:rsidRPr="006316DF">
        <w:t>.</w:t>
      </w:r>
    </w:p>
    <w:p w:rsidR="008B580D" w:rsidRPr="008B580D" w:rsidRDefault="008B580D" w:rsidP="00C21496">
      <w:pPr>
        <w:pStyle w:val="Caption"/>
        <w:jc w:val="left"/>
      </w:pPr>
      <w:bookmarkStart w:id="85" w:name="_Ref511118803"/>
      <w:bookmarkStart w:id="86" w:name="_Toc513108455"/>
      <w:bookmarkEnd w:id="83"/>
      <w:bookmarkEnd w:id="84"/>
      <w:r>
        <w:t>Table ES.</w:t>
      </w:r>
      <w:r w:rsidR="00CC79E1">
        <w:rPr>
          <w:noProof/>
        </w:rPr>
        <w:t>11</w:t>
      </w:r>
      <w:bookmarkEnd w:id="85"/>
      <w:r>
        <w:tab/>
      </w:r>
      <w:r w:rsidRPr="009F466A">
        <w:t>Summary of the evidence for the clinical effectiveness of an ERA in addition to a prostanoid, relative to prostanoid monotherapy</w:t>
      </w:r>
      <w:bookmarkEnd w:id="86"/>
    </w:p>
    <w:tbl>
      <w:tblPr>
        <w:tblStyle w:val="TableGrid"/>
        <w:tblW w:w="9634" w:type="dxa"/>
        <w:tblLook w:val="04A0" w:firstRow="1" w:lastRow="0" w:firstColumn="1" w:lastColumn="0" w:noHBand="0" w:noVBand="1"/>
        <w:tblCaption w:val="Summary of the evidence for the clinical effectiveness of an ERA in addition to a prostanoid, relative to prostanoid monotherapy"/>
      </w:tblPr>
      <w:tblGrid>
        <w:gridCol w:w="1573"/>
        <w:gridCol w:w="2385"/>
        <w:gridCol w:w="5676"/>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 xml:space="preserve">Included trials </w:t>
            </w:r>
          </w:p>
          <w:p w:rsidR="00321DBE" w:rsidRPr="00A4053B" w:rsidRDefault="00321DBE" w:rsidP="00C21496">
            <w:pPr>
              <w:pStyle w:val="Tabletext"/>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Patients with WHO FC III/IV PAH</w:t>
            </w:r>
          </w:p>
        </w:tc>
      </w:tr>
      <w:tr w:rsidR="00321DBE" w:rsidRPr="009F466A" w:rsidTr="00321DBE">
        <w:tc>
          <w:tcPr>
            <w:tcW w:w="1555" w:type="dxa"/>
          </w:tcPr>
          <w:p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BREATHE-2 (bosentan/epoprostenol)</w:t>
            </w:r>
          </w:p>
          <w:p w:rsidR="00321DBE" w:rsidRPr="00532B79" w:rsidRDefault="00321DBE" w:rsidP="00C21496">
            <w:pPr>
              <w:pStyle w:val="Tabletext"/>
            </w:pPr>
            <w:r w:rsidRPr="00532B79">
              <w:t>N=33</w:t>
            </w:r>
          </w:p>
        </w:tc>
        <w:tc>
          <w:tcPr>
            <w:tcW w:w="6095" w:type="dxa"/>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died from any cause with combination therapy compared with monotherapy, but the wide 95% CI indicates that the study was underpowered for this outcome (ARD = 13.6%; 95% CI −0.7, 28.0)</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Improved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BREATHE-2 (bosentan/epoprostenol) </w:t>
            </w:r>
          </w:p>
          <w:p w:rsidR="00321DBE" w:rsidRPr="00532B79" w:rsidRDefault="00321DBE" w:rsidP="00C21496">
            <w:pPr>
              <w:pStyle w:val="Tabletext"/>
            </w:pPr>
            <w:r w:rsidRPr="00532B79">
              <w:t>N=33</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improved their WHO FC with combination therapy compared with monotherapy, but the wide 95% CI indicates that the study was underpowered for this outcome (RR = 1.30; 95% CI 0.62, 2.71)</w:t>
            </w:r>
          </w:p>
        </w:tc>
      </w:tr>
      <w:tr w:rsidR="00321DBE" w:rsidRPr="009F466A" w:rsidTr="00321DBE">
        <w:tc>
          <w:tcPr>
            <w:tcW w:w="1555" w:type="dxa"/>
          </w:tcPr>
          <w:p w:rsidR="00321DBE" w:rsidRPr="00532B79" w:rsidRDefault="00321DBE" w:rsidP="00C21496">
            <w:pPr>
              <w:pStyle w:val="Tabletext"/>
            </w:pPr>
            <w:r w:rsidRPr="00532B79">
              <w:lastRenderedPageBreak/>
              <w:t>Change in 6MWD from baseline</w:t>
            </w:r>
          </w:p>
        </w:tc>
        <w:tc>
          <w:tcPr>
            <w:tcW w:w="1984" w:type="dxa"/>
          </w:tcPr>
          <w:p w:rsidR="00321DBE" w:rsidRPr="00532B79" w:rsidRDefault="00321DBE" w:rsidP="00C21496">
            <w:pPr>
              <w:pStyle w:val="Tabletext"/>
            </w:pPr>
            <w:r w:rsidRPr="00532B79">
              <w:t>BREATHE-2 (bosentan/epoprostenol)</w:t>
            </w:r>
          </w:p>
          <w:p w:rsidR="00321DBE" w:rsidRPr="00532B79" w:rsidRDefault="00321DBE" w:rsidP="00C21496">
            <w:pPr>
              <w:pStyle w:val="Tabletext"/>
            </w:pPr>
            <w:r w:rsidRPr="00532B79">
              <w:t>Han 2017 (bosentan/iloprost)</w:t>
            </w:r>
          </w:p>
          <w:p w:rsidR="00321DBE" w:rsidRPr="00532B79" w:rsidRDefault="00321DBE" w:rsidP="00C21496">
            <w:pPr>
              <w:pStyle w:val="Tabletext"/>
            </w:pPr>
            <w:r w:rsidRPr="00532B79">
              <w:t>N=47</w:t>
            </w:r>
          </w:p>
        </w:tc>
        <w:tc>
          <w:tcPr>
            <w:tcW w:w="6095" w:type="dxa"/>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In 1 out of 2 studies patients on combination therapy had  a large clinically important improvement in their 6MWD compared with those on monotherapy (range 6.0 m less to 123.6 m walked further) </w:t>
            </w:r>
          </w:p>
          <w:p w:rsidR="00321DBE" w:rsidRPr="00532B79" w:rsidRDefault="00321DBE" w:rsidP="00C21496">
            <w:pPr>
              <w:pStyle w:val="Tabletext"/>
            </w:pPr>
            <w:r w:rsidRPr="00532B79">
              <w:t>Two studies were too small to determine whether the two different treatment combinations differ in their treatment effectiveness</w:t>
            </w:r>
          </w:p>
        </w:tc>
      </w:tr>
      <w:tr w:rsidR="00321DBE" w:rsidRPr="009F466A" w:rsidTr="00321DBE">
        <w:tc>
          <w:tcPr>
            <w:tcW w:w="1555" w:type="dxa"/>
          </w:tcPr>
          <w:p w:rsidR="00321DBE" w:rsidRPr="00532B79" w:rsidRDefault="00321DBE" w:rsidP="00C21496">
            <w:pPr>
              <w:pStyle w:val="Tabletext"/>
            </w:pPr>
            <w:r w:rsidRPr="00532B79">
              <w:t>Change in QoL from baseline:</w:t>
            </w:r>
          </w:p>
          <w:p w:rsidR="00321DBE" w:rsidRPr="00532B79" w:rsidRDefault="00321DBE" w:rsidP="00C21496">
            <w:pPr>
              <w:pStyle w:val="Tabletext"/>
            </w:pPr>
            <w:proofErr w:type="spellStart"/>
            <w:r w:rsidRPr="00532B79">
              <w:t>MLHFa</w:t>
            </w:r>
            <w:proofErr w:type="spellEnd"/>
          </w:p>
        </w:tc>
        <w:tc>
          <w:tcPr>
            <w:tcW w:w="1984" w:type="dxa"/>
          </w:tcPr>
          <w:p w:rsidR="00321DBE" w:rsidRPr="00532B79" w:rsidRDefault="00321DBE" w:rsidP="00C21496">
            <w:pPr>
              <w:pStyle w:val="Tabletext"/>
            </w:pPr>
            <w:r w:rsidRPr="00532B79">
              <w:t xml:space="preserve">Han 2017 (bosentan/iloprost) </w:t>
            </w:r>
          </w:p>
          <w:p w:rsidR="00321DBE" w:rsidRPr="00532B79" w:rsidRDefault="00321DBE" w:rsidP="00C21496">
            <w:pPr>
              <w:pStyle w:val="Tabletext"/>
            </w:pPr>
            <w:r w:rsidRPr="00532B79">
              <w:t>N=14</w:t>
            </w:r>
          </w:p>
        </w:tc>
        <w:tc>
          <w:tcPr>
            <w:tcW w:w="6095" w:type="dxa"/>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Patients on combination therapy had a larger mean improvement in their QoL than those on monotherapy (MD = 35.34 point improvement was a clinically important difference)</w:t>
            </w:r>
          </w:p>
        </w:tc>
      </w:tr>
      <w:tr w:rsidR="00321DBE" w:rsidRPr="009F466A" w:rsidTr="00321DBE">
        <w:tc>
          <w:tcPr>
            <w:tcW w:w="1555" w:type="dxa"/>
          </w:tcPr>
          <w:p w:rsidR="00321DBE" w:rsidRPr="00532B79" w:rsidRDefault="00321DBE" w:rsidP="00C21496">
            <w:pPr>
              <w:pStyle w:val="Tabletext"/>
            </w:pPr>
            <w:r w:rsidRPr="00532B79">
              <w:t>Change in haemodynamic parameters from baseline:</w:t>
            </w:r>
          </w:p>
          <w:p w:rsidR="00321DBE" w:rsidRPr="00532B79" w:rsidRDefault="00321DBE" w:rsidP="00C21496">
            <w:pPr>
              <w:pStyle w:val="Tabletext"/>
            </w:pPr>
            <w:r w:rsidRPr="00532B79">
              <w:t xml:space="preserve">CAI, PVR, </w:t>
            </w:r>
            <w:proofErr w:type="spellStart"/>
            <w:r w:rsidRPr="00532B79">
              <w:t>mPAP</w:t>
            </w:r>
            <w:proofErr w:type="spellEnd"/>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BREATHE-2 (bosentan/epoprostenol)</w:t>
            </w:r>
          </w:p>
          <w:p w:rsidR="00321DBE" w:rsidRPr="00532B79" w:rsidRDefault="00321DBE" w:rsidP="00C21496">
            <w:pPr>
              <w:pStyle w:val="Tabletext"/>
            </w:pPr>
            <w:r w:rsidRPr="00532B79">
              <w:t xml:space="preserve">Han 2017 (bosentan/iloprost) </w:t>
            </w:r>
          </w:p>
          <w:p w:rsidR="00321DBE" w:rsidRPr="00532B79" w:rsidRDefault="00321DBE" w:rsidP="00C21496">
            <w:pPr>
              <w:pStyle w:val="Tabletext"/>
            </w:pPr>
            <w:r w:rsidRPr="00532B79">
              <w:t>N=47</w:t>
            </w:r>
          </w:p>
        </w:tc>
        <w:tc>
          <w:tcPr>
            <w:tcW w:w="6095" w:type="dxa"/>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Patients on combination therapy had a larger mean improvement in their haemodynamic parameters  than those on monotherapy and were likely to be clinically important in 1 out of 2 studies (CAI range 10.8−17% improvement; PVR range 9.5−21.5% improvement; </w:t>
            </w:r>
            <w:proofErr w:type="spellStart"/>
            <w:r w:rsidRPr="00532B79">
              <w:t>mPAP</w:t>
            </w:r>
            <w:proofErr w:type="spellEnd"/>
            <w:r w:rsidRPr="00532B79">
              <w:t xml:space="preserve"> range 6.8−26.3% improvement)</w:t>
            </w:r>
          </w:p>
          <w:p w:rsidR="00321DBE" w:rsidRPr="00532B79" w:rsidRDefault="00321DBE" w:rsidP="00C21496">
            <w:pPr>
              <w:pStyle w:val="Tabletext"/>
            </w:pPr>
            <w:r w:rsidRPr="00532B79">
              <w:t>The two studies were too small to determine whether the two different treatment combinations differ in their treatment effectiveness</w:t>
            </w:r>
          </w:p>
        </w:tc>
      </w:tr>
      <w:tr w:rsidR="00321DBE" w:rsidRPr="009F466A" w:rsidTr="00321DBE">
        <w:tc>
          <w:tcPr>
            <w:tcW w:w="1555" w:type="dxa"/>
          </w:tcPr>
          <w:p w:rsidR="00321DBE" w:rsidRPr="00532B79" w:rsidRDefault="00321DBE" w:rsidP="00C21496">
            <w:pPr>
              <w:pStyle w:val="Tabletext"/>
            </w:pPr>
            <w:r w:rsidRPr="00532B79">
              <w:t>Change in haemodynamic parameters from baseline:</w:t>
            </w:r>
          </w:p>
          <w:p w:rsidR="00321DBE" w:rsidRPr="00532B79" w:rsidRDefault="00321DBE" w:rsidP="00C21496">
            <w:pPr>
              <w:pStyle w:val="Tabletext"/>
            </w:pPr>
            <w:proofErr w:type="spellStart"/>
            <w:r w:rsidRPr="00532B79">
              <w:t>mRAP</w:t>
            </w:r>
            <w:proofErr w:type="spellEnd"/>
            <w:r w:rsidRPr="00532B79">
              <w:t>, TPR</w:t>
            </w:r>
          </w:p>
        </w:tc>
        <w:tc>
          <w:tcPr>
            <w:tcW w:w="1984" w:type="dxa"/>
          </w:tcPr>
          <w:p w:rsidR="00321DBE" w:rsidRPr="00532B79" w:rsidRDefault="00321DBE" w:rsidP="00C21496">
            <w:pPr>
              <w:pStyle w:val="Tabletext"/>
            </w:pPr>
            <w:r w:rsidRPr="00532B79">
              <w:t xml:space="preserve">BREATHE-2 (bosentan/epoprostenol) </w:t>
            </w:r>
          </w:p>
          <w:p w:rsidR="00321DBE" w:rsidRPr="00532B79" w:rsidRDefault="00321DBE" w:rsidP="00C21496">
            <w:pPr>
              <w:pStyle w:val="Tabletext"/>
            </w:pPr>
            <w:r w:rsidRPr="00532B79">
              <w:t>N=33</w:t>
            </w:r>
          </w:p>
        </w:tc>
        <w:tc>
          <w:tcPr>
            <w:tcW w:w="6095" w:type="dxa"/>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Patients on combination therapy had a larger mean improvement in their haemodynamic parameters than those on monotherapy (</w:t>
            </w:r>
            <w:proofErr w:type="spellStart"/>
            <w:r w:rsidRPr="00532B79">
              <w:t>mRAP</w:t>
            </w:r>
            <w:proofErr w:type="spellEnd"/>
            <w:r w:rsidRPr="00532B79">
              <w:t xml:space="preserve"> MD = 2.2 mmHg improvement; TPR MD = 13.7% improvement)</w:t>
            </w:r>
          </w:p>
        </w:tc>
      </w:tr>
    </w:tbl>
    <w:p w:rsidR="00321DBE" w:rsidRPr="00532B79" w:rsidRDefault="00321DBE" w:rsidP="00C21496">
      <w:pPr>
        <w:pStyle w:val="Tablenote"/>
        <w:jc w:val="left"/>
      </w:pPr>
      <w:proofErr w:type="gramStart"/>
      <w:r w:rsidRPr="00532B79">
        <w:t>a</w:t>
      </w:r>
      <w:proofErr w:type="gramEnd"/>
      <w:r w:rsidRPr="00532B79">
        <w:t xml:space="preserve"> MLHF total scores range from 0 to 105. A higher score indicates poorer QoL. </w:t>
      </w:r>
    </w:p>
    <w:p w:rsidR="00321DBE" w:rsidRPr="00532B79" w:rsidRDefault="00321DBE" w:rsidP="00C21496">
      <w:pPr>
        <w:pStyle w:val="Tablenote"/>
        <w:jc w:val="left"/>
      </w:pPr>
      <w:r w:rsidRPr="00532B79">
        <w:t xml:space="preserve">6MWD = 6-minute walk distance; ARD = absolute risk difference; CAI = cardiac index; CI = confidence interval; ERA = endothelin receptor antagonist; FC = functional class; GRADE = grading of recommendations assessment, development and evaluation1; MD = mean difference; MLHF = Minnesota living with heart failure; </w:t>
      </w:r>
      <w:proofErr w:type="spellStart"/>
      <w:r w:rsidRPr="00532B79">
        <w:t>mPAP</w:t>
      </w:r>
      <w:proofErr w:type="spellEnd"/>
      <w:r w:rsidRPr="00532B79">
        <w:t xml:space="preserve"> = mean pulmonary artery pressure; </w:t>
      </w:r>
      <w:proofErr w:type="spellStart"/>
      <w:r w:rsidRPr="00532B79">
        <w:t>mRAP</w:t>
      </w:r>
      <w:proofErr w:type="spellEnd"/>
      <w:r w:rsidRPr="00532B79">
        <w:t xml:space="preserve"> = mean right atrial pressure; PAH = pulmonary arterial hypertension; PVR = pulmonary vascular resistance; QoL = quality of life; RR = relative risk; TPR = total pulmonary resistance; WHO = World Health Organization</w:t>
      </w:r>
    </w:p>
    <w:p w:rsidR="0016033A" w:rsidRPr="0016033A" w:rsidRDefault="0016033A" w:rsidP="00C21496">
      <w:pPr>
        <w:pStyle w:val="Heading5"/>
        <w:keepLines w:val="0"/>
        <w:numPr>
          <w:ilvl w:val="0"/>
          <w:numId w:val="0"/>
        </w:numPr>
        <w:spacing w:before="240"/>
        <w:jc w:val="left"/>
        <w:rPr>
          <w:color w:val="auto"/>
          <w:u w:val="single"/>
        </w:rPr>
      </w:pPr>
      <w:bookmarkStart w:id="87" w:name="_Ref506192023"/>
      <w:bookmarkStart w:id="88" w:name="_Toc508396841"/>
      <w:r w:rsidRPr="0016033A">
        <w:rPr>
          <w:color w:val="auto"/>
          <w:u w:val="single"/>
        </w:rPr>
        <w:t>Safety</w:t>
      </w:r>
    </w:p>
    <w:p w:rsidR="0016033A" w:rsidRDefault="0016033A" w:rsidP="00C21496">
      <w:pPr>
        <w:jc w:val="left"/>
      </w:pPr>
      <w:r>
        <w:t>Two RCTs reported on the comparative safety of treatment with an ERA plus a prostanoid compared with a prostanoid alone in any patient with PAH:</w:t>
      </w:r>
    </w:p>
    <w:p w:rsidR="0016033A" w:rsidRPr="00B96C6F" w:rsidRDefault="0016033A" w:rsidP="00C21496">
      <w:pPr>
        <w:pStyle w:val="Bullettext"/>
        <w:ind w:left="720"/>
      </w:pPr>
      <w:r>
        <w:t>BREATH</w:t>
      </w:r>
      <w:r w:rsidR="00A94DF2">
        <w:t>E</w:t>
      </w:r>
      <w:r>
        <w:t>-2 and Han 2017</w:t>
      </w:r>
    </w:p>
    <w:p w:rsidR="0016033A" w:rsidRPr="00B96C6F" w:rsidRDefault="0016033A" w:rsidP="00C21496">
      <w:pPr>
        <w:pStyle w:val="Bullettext"/>
        <w:ind w:left="720"/>
      </w:pPr>
      <w:r w:rsidRPr="00B96C6F">
        <w:t xml:space="preserve">There were no new </w:t>
      </w:r>
      <w:r>
        <w:t>safety signals identified</w:t>
      </w:r>
      <w:r w:rsidRPr="00B96C6F">
        <w:t>.</w:t>
      </w:r>
    </w:p>
    <w:p w:rsidR="0016033A" w:rsidRDefault="0016033A" w:rsidP="00C21496">
      <w:pPr>
        <w:jc w:val="left"/>
      </w:pPr>
      <w:r>
        <w:t>The evidence provided by these trials for patients</w:t>
      </w:r>
      <w:r w:rsidRPr="007D34E3">
        <w:t xml:space="preserve"> with WHO FC III/IV PAH</w:t>
      </w:r>
      <w:r>
        <w:t xml:space="preserve"> is summarised in </w:t>
      </w:r>
      <w:r w:rsidR="00CC79E1">
        <w:t>Table ES.</w:t>
      </w:r>
      <w:r w:rsidR="00CC79E1">
        <w:rPr>
          <w:noProof/>
        </w:rPr>
        <w:t>12</w:t>
      </w:r>
      <w:r>
        <w:t>.</w:t>
      </w:r>
    </w:p>
    <w:p w:rsidR="0016033A" w:rsidRDefault="0016033A" w:rsidP="00C21496">
      <w:pPr>
        <w:jc w:val="left"/>
      </w:pPr>
      <w:r>
        <w:t>Overall</w:t>
      </w:r>
      <w:r w:rsidRPr="006316DF">
        <w:t xml:space="preserve">, </w:t>
      </w:r>
      <w:r>
        <w:t xml:space="preserve">although </w:t>
      </w:r>
      <w:r w:rsidRPr="000522D6">
        <w:t>the</w:t>
      </w:r>
      <w:r>
        <w:t>re is uncertainty,</w:t>
      </w:r>
      <w:r w:rsidRPr="000522D6">
        <w:t xml:space="preserve"> </w:t>
      </w:r>
      <w:r w:rsidRPr="006316DF">
        <w:t xml:space="preserve">use of an ERA </w:t>
      </w:r>
      <w:r w:rsidRPr="000522D6">
        <w:t xml:space="preserve">in addition to </w:t>
      </w:r>
      <w:r>
        <w:t>a prostanoid</w:t>
      </w:r>
      <w:r w:rsidRPr="000522D6">
        <w:t xml:space="preserve"> </w:t>
      </w:r>
      <w:r>
        <w:t>could</w:t>
      </w:r>
      <w:r w:rsidRPr="006316DF">
        <w:t xml:space="preserve"> be </w:t>
      </w:r>
      <w:r>
        <w:t>non-inferior to</w:t>
      </w:r>
      <w:r w:rsidRPr="000522D6">
        <w:t xml:space="preserve"> </w:t>
      </w:r>
      <w:r>
        <w:t>prostanoid</w:t>
      </w:r>
      <w:r w:rsidRPr="000522D6">
        <w:t xml:space="preserve"> monotherapy </w:t>
      </w:r>
      <w:r>
        <w:t>when</w:t>
      </w:r>
      <w:r w:rsidRPr="006316DF">
        <w:t xml:space="preserve"> treat</w:t>
      </w:r>
      <w:r>
        <w:t>ing</w:t>
      </w:r>
      <w:r w:rsidRPr="006316DF">
        <w:t xml:space="preserve"> </w:t>
      </w:r>
      <w:r>
        <w:t xml:space="preserve">patients with </w:t>
      </w:r>
      <w:r w:rsidRPr="00C754B8">
        <w:t>WHO FC III/IV PAH</w:t>
      </w:r>
      <w:r>
        <w:t>.</w:t>
      </w:r>
    </w:p>
    <w:p w:rsidR="00A4053B" w:rsidRDefault="00A4053B" w:rsidP="00C21496">
      <w:pPr>
        <w:jc w:val="left"/>
        <w:rPr>
          <w:rFonts w:eastAsia="Times New Roman" w:cs="Times New Roman"/>
          <w:b/>
          <w:bCs/>
          <w:szCs w:val="18"/>
        </w:rPr>
      </w:pPr>
      <w:r>
        <w:br w:type="page"/>
      </w:r>
    </w:p>
    <w:p w:rsidR="008B580D" w:rsidRPr="008B580D" w:rsidRDefault="008B580D" w:rsidP="00C21496">
      <w:pPr>
        <w:pStyle w:val="Caption"/>
        <w:jc w:val="left"/>
      </w:pPr>
      <w:bookmarkStart w:id="89" w:name="_Ref511118813"/>
      <w:bookmarkStart w:id="90" w:name="_Toc513108456"/>
      <w:bookmarkEnd w:id="87"/>
      <w:bookmarkEnd w:id="88"/>
      <w:r>
        <w:lastRenderedPageBreak/>
        <w:t>Table ES.</w:t>
      </w:r>
      <w:r w:rsidR="00CC79E1">
        <w:rPr>
          <w:noProof/>
        </w:rPr>
        <w:t>12</w:t>
      </w:r>
      <w:bookmarkEnd w:id="89"/>
      <w:r>
        <w:tab/>
      </w:r>
      <w:r w:rsidRPr="009F466A">
        <w:t>Summary of the evidence for the safety of an ERA in addition to a prostanoid, relative to prostanoid monotherapy</w:t>
      </w:r>
      <w:bookmarkEnd w:id="90"/>
    </w:p>
    <w:tbl>
      <w:tblPr>
        <w:tblStyle w:val="TableGrid"/>
        <w:tblW w:w="9776" w:type="dxa"/>
        <w:tblLook w:val="04A0" w:firstRow="1" w:lastRow="0" w:firstColumn="1" w:lastColumn="0" w:noHBand="0" w:noVBand="1"/>
        <w:tblCaption w:val="Summary of the evidence for the safety of an ERA in addition to a prostanoid, relative to prostanoid monotherapy"/>
      </w:tblPr>
      <w:tblGrid>
        <w:gridCol w:w="1555"/>
        <w:gridCol w:w="2385"/>
        <w:gridCol w:w="5836"/>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 xml:space="preserve">Included trials </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321DBE">
        <w:tc>
          <w:tcPr>
            <w:tcW w:w="9776"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Patients with WHO FC III/IV PAH</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Any AE</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Han 2017 (bosentan/iloprost)</w:t>
            </w:r>
          </w:p>
          <w:p w:rsidR="00321DBE" w:rsidRPr="00532B79" w:rsidRDefault="00321DBE" w:rsidP="00C21496">
            <w:pPr>
              <w:pStyle w:val="Tabletext"/>
            </w:pPr>
            <w:r w:rsidRPr="00532B79">
              <w:t>N=14</w:t>
            </w:r>
          </w:p>
        </w:tc>
        <w:tc>
          <w:tcPr>
            <w:tcW w:w="6237"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The proportion of patients who had any AE was similar for both the combination therapy and monotherapy arms, but the 95% CI indicates that there could be an effect favouring either treatment arm (RR = 1.05; 95% CI 0.67, 1.64)</w:t>
            </w:r>
          </w:p>
        </w:tc>
      </w:tr>
      <w:tr w:rsidR="00321DBE" w:rsidRPr="009F466A" w:rsidTr="00321DBE">
        <w:tc>
          <w:tcPr>
            <w:tcW w:w="1555" w:type="dxa"/>
          </w:tcPr>
          <w:p w:rsidR="00321DBE" w:rsidRPr="00532B79" w:rsidRDefault="00321DBE" w:rsidP="00C21496">
            <w:pPr>
              <w:pStyle w:val="Tabletext"/>
            </w:pPr>
            <w:r w:rsidRPr="00532B79">
              <w:t>Serious AEs</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BREATHE-2 (bosentan/epoprostenol)</w:t>
            </w:r>
          </w:p>
          <w:p w:rsidR="00321DBE" w:rsidRPr="00532B79" w:rsidRDefault="00321DBE" w:rsidP="00C21496">
            <w:pPr>
              <w:pStyle w:val="Tabletext"/>
            </w:pPr>
            <w:r w:rsidRPr="00532B79">
              <w:t>N=44</w:t>
            </w:r>
          </w:p>
        </w:tc>
        <w:tc>
          <w:tcPr>
            <w:tcW w:w="6237" w:type="dxa"/>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Fewer patients experienced a serious AE with combination therapy compared with monotherapy, but the wide 95% CI indicates that the study was likely underpowered for this outcome (RR = 0.75; 95% CI 0.15, 3.85)</w:t>
            </w:r>
          </w:p>
        </w:tc>
      </w:tr>
      <w:tr w:rsidR="00321DBE" w:rsidRPr="009F466A" w:rsidTr="00321DBE">
        <w:tc>
          <w:tcPr>
            <w:tcW w:w="1555" w:type="dxa"/>
          </w:tcPr>
          <w:p w:rsidR="00321DBE" w:rsidRPr="00532B79" w:rsidRDefault="00321DBE" w:rsidP="00C21496">
            <w:pPr>
              <w:pStyle w:val="Tabletext"/>
            </w:pPr>
            <w:r w:rsidRPr="00532B79">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BREATHE-2 (bosentan/epoprostenol) </w:t>
            </w:r>
          </w:p>
          <w:p w:rsidR="00321DBE" w:rsidRPr="00532B79" w:rsidRDefault="00321DBE" w:rsidP="00C21496">
            <w:pPr>
              <w:pStyle w:val="Tabletext"/>
            </w:pPr>
            <w:r w:rsidRPr="00532B79">
              <w:t>N=44</w:t>
            </w:r>
          </w:p>
        </w:tc>
        <w:tc>
          <w:tcPr>
            <w:tcW w:w="6237"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Fewer patients had an AE leading to treatment discontinuation with combination therapy compared with monotherapy, but the wide 95% CI indicates that the study was likely underpowered for this outcome (RR = 0.50; 95% CI 0.03, 7.26)</w:t>
            </w:r>
          </w:p>
        </w:tc>
      </w:tr>
    </w:tbl>
    <w:p w:rsidR="00321DBE" w:rsidRPr="00532B79" w:rsidRDefault="00321DBE" w:rsidP="00C21496">
      <w:pPr>
        <w:pStyle w:val="Tablenote"/>
        <w:jc w:val="left"/>
      </w:pPr>
      <w:r w:rsidRPr="00532B79">
        <w:t>AE = adverse event; CI = confidence interval; ERA = endothelin receptor antagonist; FC = functional class; GRADE = grading of recommendations assessment, development and evaluation1; PAH = pulmonary arterial hypertension; RR = relative risk; WHO = World Health Organization</w:t>
      </w:r>
    </w:p>
    <w:p w:rsidR="00321DBE" w:rsidRPr="009F466A" w:rsidRDefault="00544D44" w:rsidP="00C21496">
      <w:pPr>
        <w:pStyle w:val="Heading4"/>
      </w:pPr>
      <w:r w:rsidRPr="009F466A">
        <w:t>PDE-5 inhibitor</w:t>
      </w:r>
      <w:r w:rsidR="00321DBE" w:rsidRPr="009F466A">
        <w:t xml:space="preserve"> in addition to ERA</w:t>
      </w:r>
    </w:p>
    <w:p w:rsidR="0016033A" w:rsidRPr="0016033A" w:rsidRDefault="0016033A" w:rsidP="00C21496">
      <w:pPr>
        <w:pStyle w:val="Heading5"/>
        <w:keepLines w:val="0"/>
        <w:numPr>
          <w:ilvl w:val="0"/>
          <w:numId w:val="0"/>
        </w:numPr>
        <w:spacing w:before="240"/>
        <w:jc w:val="left"/>
        <w:rPr>
          <w:color w:val="auto"/>
          <w:u w:val="single"/>
        </w:rPr>
      </w:pPr>
      <w:bookmarkStart w:id="91" w:name="_Ref506191091"/>
      <w:bookmarkStart w:id="92" w:name="_Toc508396842"/>
      <w:r w:rsidRPr="0016033A">
        <w:rPr>
          <w:color w:val="auto"/>
          <w:u w:val="single"/>
        </w:rPr>
        <w:t>Clinical effectiveness</w:t>
      </w:r>
    </w:p>
    <w:p w:rsidR="0016033A" w:rsidRDefault="0016033A" w:rsidP="00C21496">
      <w:pPr>
        <w:jc w:val="left"/>
      </w:pPr>
      <w:r w:rsidRPr="00822C52">
        <w:t>F</w:t>
      </w:r>
      <w:r>
        <w:t>ive</w:t>
      </w:r>
      <w:r w:rsidRPr="00822C52">
        <w:t xml:space="preserve"> RCTs reported on the effectiveness of a PDE-5</w:t>
      </w:r>
      <w:r>
        <w:t xml:space="preserve"> </w:t>
      </w:r>
      <w:r w:rsidRPr="00C5017B">
        <w:t xml:space="preserve">inhibitor </w:t>
      </w:r>
      <w:r w:rsidRPr="00822C52">
        <w:t xml:space="preserve">in addition to an ERA in treating PAH </w:t>
      </w:r>
      <w:r>
        <w:t xml:space="preserve">patients </w:t>
      </w:r>
      <w:r w:rsidRPr="00822C52">
        <w:t xml:space="preserve">compared with placebo plus </w:t>
      </w:r>
      <w:r>
        <w:t>an ERA:</w:t>
      </w:r>
    </w:p>
    <w:p w:rsidR="0016033A" w:rsidRPr="00CF209C" w:rsidRDefault="0016033A" w:rsidP="00C21496">
      <w:pPr>
        <w:pStyle w:val="Bullettext"/>
        <w:ind w:left="720"/>
      </w:pPr>
      <w:r>
        <w:t>Four</w:t>
      </w:r>
      <w:r w:rsidRPr="00CF209C">
        <w:t xml:space="preserve"> trials (</w:t>
      </w:r>
      <w:r>
        <w:t>PHIRST</w:t>
      </w:r>
      <w:r w:rsidRPr="00CF209C">
        <w:t xml:space="preserve">, </w:t>
      </w:r>
      <w:proofErr w:type="spellStart"/>
      <w:r>
        <w:t>Mainguy</w:t>
      </w:r>
      <w:proofErr w:type="spellEnd"/>
      <w:r>
        <w:t xml:space="preserve"> 2013, </w:t>
      </w:r>
      <w:proofErr w:type="spellStart"/>
      <w:r>
        <w:t>Vizza</w:t>
      </w:r>
      <w:proofErr w:type="spellEnd"/>
      <w:r>
        <w:t xml:space="preserve"> 2017</w:t>
      </w:r>
      <w:r w:rsidRPr="00CF209C">
        <w:t xml:space="preserve"> and </w:t>
      </w:r>
      <w:r>
        <w:t>Zhuang 2014</w:t>
      </w:r>
      <w:r w:rsidRPr="00CF209C">
        <w:t>) enrolled patients on stable PDE-5 inhibitor monotherapy (sequential combination therapy)</w:t>
      </w:r>
      <w:r>
        <w:t>.</w:t>
      </w:r>
    </w:p>
    <w:p w:rsidR="0016033A" w:rsidRPr="00CF209C" w:rsidRDefault="0016033A" w:rsidP="00C21496">
      <w:pPr>
        <w:pStyle w:val="Bullettext"/>
        <w:ind w:left="720"/>
      </w:pPr>
      <w:r w:rsidRPr="00CF209C">
        <w:t>One trial (AMBITION) enrolled treatment naïve patients (initial combination therapy)</w:t>
      </w:r>
    </w:p>
    <w:p w:rsidR="0016033A" w:rsidRPr="00CF209C" w:rsidRDefault="0016033A" w:rsidP="00C21496">
      <w:pPr>
        <w:pStyle w:val="Bullettext"/>
        <w:numPr>
          <w:ilvl w:val="1"/>
          <w:numId w:val="7"/>
        </w:numPr>
        <w:ind w:left="1134"/>
      </w:pPr>
      <w:r w:rsidRPr="00CF209C">
        <w:t xml:space="preserve">There were no statistically significant differences in </w:t>
      </w:r>
      <w:r>
        <w:t>outcomes</w:t>
      </w:r>
      <w:r w:rsidRPr="00CF209C">
        <w:t xml:space="preserve"> for patients receiving initial combination therapy versus monotherapy and patients receiving sequential combination therapy versus monotherapy</w:t>
      </w:r>
      <w:r>
        <w:t>.</w:t>
      </w:r>
    </w:p>
    <w:p w:rsidR="0016033A" w:rsidRPr="00CF209C" w:rsidRDefault="0016033A" w:rsidP="00C21496">
      <w:pPr>
        <w:pStyle w:val="Bullettext"/>
        <w:ind w:left="720"/>
      </w:pPr>
      <w:r>
        <w:t xml:space="preserve">Two </w:t>
      </w:r>
      <w:r w:rsidRPr="00CF209C">
        <w:t xml:space="preserve">RCTs included </w:t>
      </w:r>
      <w:r>
        <w:t xml:space="preserve">a </w:t>
      </w:r>
      <w:r w:rsidRPr="00CF209C">
        <w:t>subgroup analysis for patients with WHO FC III/IV PAH</w:t>
      </w:r>
      <w:r>
        <w:t>.</w:t>
      </w:r>
    </w:p>
    <w:p w:rsidR="0016033A" w:rsidRPr="00CF209C" w:rsidRDefault="0016033A" w:rsidP="00C21496">
      <w:pPr>
        <w:pStyle w:val="Bullettext"/>
        <w:ind w:left="720"/>
      </w:pPr>
      <w:r w:rsidRPr="00CF209C">
        <w:t>T</w:t>
      </w:r>
      <w:r>
        <w:t>hree</w:t>
      </w:r>
      <w:r w:rsidRPr="00CF209C">
        <w:t xml:space="preserve"> RCTs included </w:t>
      </w:r>
      <w:r>
        <w:t xml:space="preserve">a </w:t>
      </w:r>
      <w:r w:rsidRPr="00CF209C">
        <w:t>subgroup analysis for patients with</w:t>
      </w:r>
      <w:r>
        <w:t xml:space="preserve"> different PAH aetiologies.</w:t>
      </w:r>
    </w:p>
    <w:p w:rsidR="0016033A" w:rsidRPr="0034017B" w:rsidRDefault="0016033A" w:rsidP="00C21496">
      <w:pPr>
        <w:jc w:val="left"/>
      </w:pPr>
      <w:r w:rsidRPr="0034017B">
        <w:t>The evidence provided by these trials for all PAH patients is summarised in</w:t>
      </w:r>
      <w:r w:rsidR="00C10642">
        <w:t xml:space="preserve"> </w:t>
      </w:r>
      <w:r w:rsidR="00CC79E1">
        <w:t>Table ES.</w:t>
      </w:r>
      <w:r w:rsidR="00CC79E1">
        <w:rPr>
          <w:noProof/>
        </w:rPr>
        <w:t>13</w:t>
      </w:r>
      <w:r w:rsidRPr="0034017B">
        <w:t>.</w:t>
      </w:r>
    </w:p>
    <w:p w:rsidR="0016033A" w:rsidRPr="0034017B" w:rsidRDefault="0016033A" w:rsidP="00C21496">
      <w:pPr>
        <w:jc w:val="left"/>
      </w:pPr>
      <w:r>
        <w:t xml:space="preserve">Overall, </w:t>
      </w:r>
      <w:r w:rsidRPr="00C84392">
        <w:t>there is some evidence</w:t>
      </w:r>
      <w:r>
        <w:t xml:space="preserve"> to suggest that</w:t>
      </w:r>
      <w:r w:rsidRPr="001E5DED">
        <w:t xml:space="preserve"> the use of a PDE-5 inhibitor in addition to an ERA</w:t>
      </w:r>
      <w:r w:rsidRPr="001902A8">
        <w:t xml:space="preserve"> </w:t>
      </w:r>
      <w:r w:rsidRPr="001E5DED">
        <w:t>to treat PAH patients, relative to ERA monotherapy</w:t>
      </w:r>
      <w:r>
        <w:t>,</w:t>
      </w:r>
      <w:r w:rsidRPr="001E5DED">
        <w:t xml:space="preserve"> is likely to be beneficial</w:t>
      </w:r>
      <w:r w:rsidRPr="0034017B">
        <w:t xml:space="preserve">. </w:t>
      </w:r>
      <w:r>
        <w:t>The evidence for patients with WHO FC III/IV PAH,</w:t>
      </w:r>
      <w:r w:rsidRPr="00FD4377">
        <w:t xml:space="preserve"> </w:t>
      </w:r>
      <w:r>
        <w:t>and for patients with either</w:t>
      </w:r>
      <w:r w:rsidRPr="00F83D2D">
        <w:t xml:space="preserve"> IPAH/HPAH </w:t>
      </w:r>
      <w:r>
        <w:t>or PAH-CTD is more limited.</w:t>
      </w:r>
    </w:p>
    <w:p w:rsidR="00A4053B" w:rsidRDefault="00A4053B" w:rsidP="00C21496">
      <w:pPr>
        <w:jc w:val="left"/>
        <w:rPr>
          <w:rFonts w:eastAsia="Times New Roman" w:cs="Times New Roman"/>
          <w:b/>
          <w:bCs/>
          <w:szCs w:val="18"/>
        </w:rPr>
      </w:pPr>
      <w:r>
        <w:br w:type="page"/>
      </w:r>
    </w:p>
    <w:p w:rsidR="008B580D" w:rsidRPr="008B580D" w:rsidRDefault="008B580D" w:rsidP="00C21496">
      <w:pPr>
        <w:pStyle w:val="Caption"/>
        <w:jc w:val="left"/>
      </w:pPr>
      <w:bookmarkStart w:id="93" w:name="_Ref511118824"/>
      <w:bookmarkStart w:id="94" w:name="_Toc513108457"/>
      <w:bookmarkEnd w:id="91"/>
      <w:bookmarkEnd w:id="92"/>
      <w:r>
        <w:lastRenderedPageBreak/>
        <w:t>Table ES.</w:t>
      </w:r>
      <w:r w:rsidR="00CC79E1">
        <w:rPr>
          <w:noProof/>
        </w:rPr>
        <w:t>13</w:t>
      </w:r>
      <w:bookmarkEnd w:id="93"/>
      <w:r>
        <w:tab/>
      </w:r>
      <w:r w:rsidRPr="009F466A">
        <w:t>Summary of the evidence for the clinical effectiveness of a PDE-5 inhibitor in addition to an ERA, relative to ERA monotherapy</w:t>
      </w:r>
      <w:bookmarkEnd w:id="94"/>
    </w:p>
    <w:tbl>
      <w:tblPr>
        <w:tblStyle w:val="TableGrid"/>
        <w:tblW w:w="9634" w:type="dxa"/>
        <w:tblLook w:val="04A0" w:firstRow="1" w:lastRow="0" w:firstColumn="1" w:lastColumn="0" w:noHBand="0" w:noVBand="1"/>
        <w:tblCaption w:val="Summary of the evidence for the clinical effectiveness of a PDE-5 inhibitor in addition to an ERA, relative to ERA monotherapy"/>
      </w:tblPr>
      <w:tblGrid>
        <w:gridCol w:w="1573"/>
        <w:gridCol w:w="2195"/>
        <w:gridCol w:w="5866"/>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 xml:space="preserve">Included trials </w:t>
            </w:r>
          </w:p>
          <w:p w:rsidR="00321DBE" w:rsidRPr="00A4053B" w:rsidRDefault="00321DBE" w:rsidP="00C21496">
            <w:pPr>
              <w:pStyle w:val="TableTextDusc"/>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Dusc"/>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All PAH patients</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r w:rsidRPr="009F466A">
              <w:t>N=694</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Significantly fewer patients experienced clinical worsening with combination therapy compared with monotherapy (pooled RR = 0.53; 95% CI 0.38, 0.73)</w:t>
            </w:r>
          </w:p>
          <w:p w:rsidR="00321DBE" w:rsidRPr="009F466A" w:rsidRDefault="00321DBE" w:rsidP="00C21496">
            <w:pPr>
              <w:pStyle w:val="TableTextDusc"/>
            </w:pPr>
            <w:r w:rsidRPr="009F466A">
              <w:t xml:space="preserve">There were no significant differences in treatment effectiveness for the different treatment combinations, but the point estimate for </w:t>
            </w:r>
            <w:proofErr w:type="spellStart"/>
            <w:r w:rsidRPr="009F466A">
              <w:t>Vizza</w:t>
            </w:r>
            <w:proofErr w:type="spellEnd"/>
            <w:r w:rsidRPr="009F466A">
              <w:t xml:space="preserve"> 2017 showed the opposite effect</w:t>
            </w:r>
          </w:p>
        </w:tc>
      </w:tr>
      <w:tr w:rsidR="00321DBE" w:rsidRPr="009F466A" w:rsidTr="00321DBE">
        <w:tc>
          <w:tcPr>
            <w:tcW w:w="1555" w:type="dxa"/>
          </w:tcPr>
          <w:p w:rsidR="00321DBE" w:rsidRPr="009F466A" w:rsidRDefault="00321DBE" w:rsidP="00C21496">
            <w:pPr>
              <w:pStyle w:val="TableTextDusc"/>
            </w:pPr>
            <w:r w:rsidRPr="009F466A">
              <w:t>All-cause mortality</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r w:rsidRPr="009F466A">
              <w:t>N=682</w:t>
            </w:r>
          </w:p>
        </w:tc>
        <w:tc>
          <w:tcPr>
            <w:tcW w:w="6095" w:type="dxa"/>
          </w:tcPr>
          <w:p w:rsidR="00321DBE" w:rsidRPr="009F466A" w:rsidRDefault="00321DBE" w:rsidP="00C21496">
            <w:pPr>
              <w:pStyle w:val="TableTextDusc"/>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hAnsi="Cambria Math" w:cs="Cambria Math"/>
                <w:color w:val="C00000"/>
              </w:rPr>
              <w:t>⨀</w:t>
            </w:r>
            <w:r w:rsidRPr="009F466A">
              <w:t>)</w:t>
            </w:r>
          </w:p>
          <w:p w:rsidR="00321DBE" w:rsidRPr="009F466A" w:rsidRDefault="00321DBE" w:rsidP="00C21496">
            <w:pPr>
              <w:pStyle w:val="TableTextDusc"/>
            </w:pPr>
            <w:r w:rsidRPr="009F466A">
              <w:t>Fewer patients died from any cause with combination therapy compared with monotherapy, but the 95% CI indicates that there could also be an effect in the opposite direction (pooled RR = 0.64; 95% CI 0.18, 2.36)</w:t>
            </w:r>
          </w:p>
          <w:p w:rsidR="00321DBE" w:rsidRPr="009F466A" w:rsidRDefault="00321DBE" w:rsidP="00C21496">
            <w:pPr>
              <w:pStyle w:val="TableTextDusc"/>
            </w:pPr>
            <w:r w:rsidRPr="009F466A">
              <w:t xml:space="preserve">There were no significant differences in treatment effectiveness for the different treatment combinations, but the point estimate for </w:t>
            </w:r>
            <w:proofErr w:type="spellStart"/>
            <w:r w:rsidRPr="009F466A">
              <w:t>Vizza</w:t>
            </w:r>
            <w:proofErr w:type="spellEnd"/>
            <w:r w:rsidRPr="009F466A">
              <w:t xml:space="preserve"> 2017 showed the opposite effect</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r w:rsidRPr="009F466A">
              <w:t>N=607</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Significantly fewer patients were hospitalised with combination therapy compared with monotherapy (pooled RR = 0.42; 95% CI 0.25, 0.70)</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Improved WHO FC</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r w:rsidRPr="009F466A">
              <w:t>N=691</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 xml:space="preserve">There was little difference in the proportion of patients whose WHO FC improved with combination therapy compared with monotherapy (pooled RR = 1.11; 95% CI 0.77, 1.60) </w:t>
            </w:r>
          </w:p>
          <w:p w:rsidR="00321DBE" w:rsidRPr="009F466A" w:rsidRDefault="00321DBE" w:rsidP="00C21496">
            <w:pPr>
              <w:pStyle w:val="TableTextDusc"/>
            </w:pPr>
            <w:r w:rsidRPr="009F466A">
              <w:t>The PHIRST study showed a trend favouring the opposite effect to the other 3 studies</w:t>
            </w:r>
          </w:p>
        </w:tc>
      </w:tr>
      <w:tr w:rsidR="00321DBE" w:rsidRPr="009F466A" w:rsidTr="00321DBE">
        <w:tc>
          <w:tcPr>
            <w:tcW w:w="1555" w:type="dxa"/>
          </w:tcPr>
          <w:p w:rsidR="00321DBE" w:rsidRPr="009F466A" w:rsidRDefault="00321DBE" w:rsidP="00C21496">
            <w:pPr>
              <w:pStyle w:val="TableTextDusc"/>
            </w:pPr>
            <w:r w:rsidRPr="009F466A">
              <w:t>Worsened WHO FC</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r w:rsidRPr="009F466A">
              <w:t>N=691</w:t>
            </w:r>
          </w:p>
        </w:tc>
        <w:tc>
          <w:tcPr>
            <w:tcW w:w="6095" w:type="dxa"/>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Fewer patients on combination therapy had worsening of their WHO FC compared with monotherapy, but the result did not quite reach statistical significance (pooled RR = 0.60; 95% CI 0.34, 1.05)</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21DBE">
        <w:tc>
          <w:tcPr>
            <w:tcW w:w="1555" w:type="dxa"/>
          </w:tcPr>
          <w:p w:rsidR="00321DBE" w:rsidRPr="009F466A" w:rsidRDefault="00321DBE" w:rsidP="00C21496">
            <w:pPr>
              <w:pStyle w:val="TableTextDusc"/>
            </w:pPr>
            <w:r w:rsidRPr="009F466A">
              <w:t>Change in 6MWD</w:t>
            </w:r>
            <w:r w:rsidRPr="009F466A">
              <w:rPr>
                <w:rFonts w:cs="Arial"/>
              </w:rPr>
              <w:t xml:space="preserve"> from baseline</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AMBITION (tadalafil/ambrisentan)</w:t>
            </w:r>
          </w:p>
          <w:p w:rsidR="00321DBE" w:rsidRPr="009F466A" w:rsidRDefault="00321DBE" w:rsidP="00C21496">
            <w:pPr>
              <w:pStyle w:val="TableTextDusc"/>
            </w:pPr>
            <w:r w:rsidRPr="009F466A">
              <w:t>PHIRST</w:t>
            </w:r>
            <w:r w:rsidRPr="009F466A">
              <w:br/>
            </w:r>
            <w:r w:rsidRPr="009F466A">
              <w:lastRenderedPageBreak/>
              <w:t>(tadalafil/bosentan)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proofErr w:type="spellStart"/>
            <w:r w:rsidRPr="009F466A">
              <w:t>Vizza</w:t>
            </w:r>
            <w:proofErr w:type="spellEnd"/>
            <w:r w:rsidRPr="009F466A">
              <w:t xml:space="preserve"> 2017 (sildenafil/bosentan)</w:t>
            </w:r>
          </w:p>
          <w:p w:rsidR="00321DBE" w:rsidRPr="009F466A" w:rsidRDefault="00321DBE" w:rsidP="00C21496">
            <w:pPr>
              <w:pStyle w:val="TableTextDusc"/>
            </w:pPr>
            <w:proofErr w:type="spellStart"/>
            <w:r w:rsidRPr="009F466A">
              <w:t>Mainguy</w:t>
            </w:r>
            <w:proofErr w:type="spellEnd"/>
            <w:r w:rsidRPr="009F466A">
              <w:t xml:space="preserve"> 2013 (sildenafil/PDE-5 inhibitor)</w:t>
            </w:r>
          </w:p>
          <w:p w:rsidR="00321DBE" w:rsidRPr="009F466A" w:rsidRDefault="00321DBE" w:rsidP="00C21496">
            <w:pPr>
              <w:pStyle w:val="TableTextDusc"/>
            </w:pPr>
            <w:r w:rsidRPr="009F466A">
              <w:t>N=726</w:t>
            </w:r>
          </w:p>
        </w:tc>
        <w:tc>
          <w:tcPr>
            <w:tcW w:w="6095" w:type="dxa"/>
          </w:tcPr>
          <w:p w:rsidR="00321DBE" w:rsidRPr="009F466A" w:rsidRDefault="00321DBE" w:rsidP="00C21496">
            <w:pPr>
              <w:pStyle w:val="TableTextDusc"/>
            </w:pPr>
            <w:r w:rsidRPr="009F466A">
              <w:lastRenderedPageBreak/>
              <w:t xml:space="preserve">Moderate quality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Dusc"/>
            </w:pPr>
            <w:r w:rsidRPr="009F466A">
              <w:t xml:space="preserve">In 4 out of 5 studies, patients on combination therapy had a larger mean improvement in their 6MWD than those on </w:t>
            </w:r>
            <w:r w:rsidRPr="009F466A">
              <w:lastRenderedPageBreak/>
              <w:t xml:space="preserve">monotherapy, and the difference could be clinically important in 1 study (range 2.4 m less to 36.1 m walked further) </w:t>
            </w:r>
          </w:p>
          <w:p w:rsidR="00321DBE" w:rsidRPr="009F466A" w:rsidRDefault="00321DBE" w:rsidP="00C21496">
            <w:pPr>
              <w:pStyle w:val="TableTextDusc"/>
            </w:pPr>
            <w:r w:rsidRPr="009F466A">
              <w:t xml:space="preserve">The </w:t>
            </w:r>
            <w:proofErr w:type="spellStart"/>
            <w:r w:rsidRPr="009F466A">
              <w:t>Vizza</w:t>
            </w:r>
            <w:proofErr w:type="spellEnd"/>
            <w:r w:rsidRPr="009F466A">
              <w:t xml:space="preserve"> 2017 study showed a trend favouring the opposite effect to the other 4 studies, but this difference may not be statistically significant</w:t>
            </w:r>
          </w:p>
        </w:tc>
      </w:tr>
      <w:tr w:rsidR="00321DBE" w:rsidRPr="009F466A" w:rsidTr="00321DBE">
        <w:tc>
          <w:tcPr>
            <w:tcW w:w="1555" w:type="dxa"/>
          </w:tcPr>
          <w:p w:rsidR="00321DBE" w:rsidRPr="009F466A" w:rsidRDefault="00321DBE" w:rsidP="00C21496">
            <w:pPr>
              <w:pStyle w:val="TableTextDusc"/>
            </w:pPr>
            <w:r w:rsidRPr="009F466A">
              <w:lastRenderedPageBreak/>
              <w:t>Change in haemodynamic parameters from baseline:</w:t>
            </w:r>
          </w:p>
          <w:p w:rsidR="00321DBE" w:rsidRPr="009F466A" w:rsidRDefault="00321DBE" w:rsidP="00C21496">
            <w:pPr>
              <w:pStyle w:val="TableTextDusc"/>
            </w:pPr>
            <w:r w:rsidRPr="009F466A">
              <w:t xml:space="preserve">PVR, </w:t>
            </w:r>
            <w:proofErr w:type="spellStart"/>
            <w:r w:rsidRPr="009F466A">
              <w:t>mPAP</w:t>
            </w:r>
            <w:proofErr w:type="spellEnd"/>
          </w:p>
        </w:tc>
        <w:tc>
          <w:tcPr>
            <w:tcW w:w="1984" w:type="dxa"/>
          </w:tcPr>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r w:rsidRPr="009F466A">
              <w:t>N=124</w:t>
            </w:r>
          </w:p>
        </w:tc>
        <w:tc>
          <w:tcPr>
            <w:tcW w:w="6095" w:type="dxa"/>
          </w:tcPr>
          <w:p w:rsidR="00321DBE" w:rsidRPr="009F466A" w:rsidRDefault="00321DBE" w:rsidP="00C21496">
            <w:pPr>
              <w:pStyle w:val="TableTextDusc"/>
            </w:pPr>
            <w:r w:rsidRPr="009F466A">
              <w:t xml:space="preserve">Low quality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Dusc"/>
            </w:pPr>
            <w:r w:rsidRPr="009F466A">
              <w:t xml:space="preserve">Patients on combination therapy had a larger mean improvement in their haemodynamic parameters than those patients receiving monotherapy (PVR MD = 13.9% improvement; </w:t>
            </w:r>
            <w:proofErr w:type="spellStart"/>
            <w:r w:rsidRPr="009F466A">
              <w:t>mPAP</w:t>
            </w:r>
            <w:proofErr w:type="spellEnd"/>
            <w:r w:rsidRPr="009F466A">
              <w:t xml:space="preserve"> MD = 8.5% improvement)</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Patients with WHO FC III/IV PAH</w:t>
            </w:r>
          </w:p>
        </w:tc>
      </w:tr>
      <w:tr w:rsidR="00321DBE" w:rsidRPr="009F466A" w:rsidTr="00321DBE">
        <w:tc>
          <w:tcPr>
            <w:tcW w:w="1555" w:type="dxa"/>
          </w:tcPr>
          <w:p w:rsidR="00321DBE" w:rsidRPr="009F466A" w:rsidRDefault="00321DBE" w:rsidP="00C21496">
            <w:pPr>
              <w:pStyle w:val="TableTextDusc"/>
            </w:pPr>
            <w:r w:rsidRPr="009F466A">
              <w:t>Change in 6MWD from baseline</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pPr>
            <w:r w:rsidRPr="009F466A">
              <w:t>Zhuang 2014 (tadalafil/ambrisentan)</w:t>
            </w:r>
          </w:p>
          <w:p w:rsidR="00321DBE" w:rsidRPr="009F466A" w:rsidRDefault="00321DBE" w:rsidP="00C21496">
            <w:pPr>
              <w:pStyle w:val="TableTextDusc"/>
            </w:pPr>
            <w:r w:rsidRPr="009F466A">
              <w:t>N=109</w:t>
            </w:r>
          </w:p>
        </w:tc>
        <w:tc>
          <w:tcPr>
            <w:tcW w:w="6095" w:type="dxa"/>
          </w:tcPr>
          <w:p w:rsidR="00321DBE" w:rsidRPr="009F466A" w:rsidRDefault="00321DBE" w:rsidP="00C21496">
            <w:pPr>
              <w:pStyle w:val="TableTextDusc"/>
            </w:pPr>
            <w:r w:rsidRPr="009F466A">
              <w:t xml:space="preserve">Moderate quality evidence (GRADE </w:t>
            </w:r>
            <w:r w:rsidRPr="009F466A">
              <w:rPr>
                <w:rFonts w:ascii="Cambria Math" w:hAnsi="Cambria Math" w:cs="Cambria Math"/>
                <w:color w:val="00B050"/>
              </w:rPr>
              <w:t>⨁⨁⨁</w:t>
            </w:r>
            <w:r w:rsidRPr="009F466A">
              <w:rPr>
                <w:rFonts w:ascii="Cambria Math" w:hAnsi="Cambria Math" w:cs="Cambria Math"/>
                <w:color w:val="C00000"/>
              </w:rPr>
              <w:t>⨀</w:t>
            </w:r>
            <w:r w:rsidRPr="009F466A">
              <w:t>)</w:t>
            </w:r>
          </w:p>
          <w:p w:rsidR="00321DBE" w:rsidRPr="009F466A" w:rsidRDefault="00321DBE" w:rsidP="00C21496">
            <w:pPr>
              <w:pStyle w:val="TableTextDusc"/>
            </w:pPr>
            <w:r w:rsidRPr="009F466A">
              <w:t>Patients on combination therapy had a larger mean improvement in their 6MWD than those patients receiving monotherapy, but the difference was not clinically important (range 13.5−20.1 m walked further)</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Patients with IPAH/HPAH</w:t>
            </w:r>
          </w:p>
        </w:tc>
      </w:tr>
      <w:tr w:rsidR="00321DBE" w:rsidRPr="009F466A" w:rsidTr="00321DBE">
        <w:tc>
          <w:tcPr>
            <w:tcW w:w="1555" w:type="dxa"/>
          </w:tcPr>
          <w:p w:rsidR="00321DBE" w:rsidRPr="009F466A" w:rsidRDefault="00321DBE" w:rsidP="00C21496">
            <w:pPr>
              <w:pStyle w:val="TableTextDusc"/>
            </w:pPr>
            <w:r w:rsidRPr="009F466A">
              <w:t>Change in 6MWD from baseline</w:t>
            </w:r>
          </w:p>
        </w:tc>
        <w:tc>
          <w:tcPr>
            <w:tcW w:w="1984" w:type="dxa"/>
          </w:tcPr>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rPr>
                <w:rFonts w:cs="Arial"/>
              </w:rPr>
            </w:pPr>
            <w:proofErr w:type="spellStart"/>
            <w:r w:rsidRPr="009F466A">
              <w:t>Vizza</w:t>
            </w:r>
            <w:proofErr w:type="spellEnd"/>
            <w:r w:rsidRPr="009F466A">
              <w:t xml:space="preserve"> 2017 (sildenafil/bosentan)</w:t>
            </w:r>
            <w:r w:rsidRPr="009F466A">
              <w:rPr>
                <w:rFonts w:cs="Arial"/>
              </w:rPr>
              <w:t xml:space="preserve"> </w:t>
            </w:r>
          </w:p>
          <w:p w:rsidR="00321DBE" w:rsidRPr="009F466A" w:rsidRDefault="00321DBE" w:rsidP="00C21496">
            <w:pPr>
              <w:pStyle w:val="TableTextDusc"/>
            </w:pPr>
            <w:r w:rsidRPr="009F466A">
              <w:rPr>
                <w:rFonts w:cs="Arial"/>
              </w:rPr>
              <w:t>N=120</w:t>
            </w:r>
          </w:p>
        </w:tc>
        <w:tc>
          <w:tcPr>
            <w:tcW w:w="6095" w:type="dxa"/>
          </w:tcPr>
          <w:p w:rsidR="00321DBE" w:rsidRPr="009F466A" w:rsidRDefault="00321DBE" w:rsidP="00C21496">
            <w:pPr>
              <w:pStyle w:val="TableTextDusc"/>
            </w:pPr>
            <w:r w:rsidRPr="009F466A">
              <w:t xml:space="preserve">Moderate quality evidence (GRADE </w:t>
            </w:r>
            <w:r w:rsidRPr="009F466A">
              <w:rPr>
                <w:rFonts w:ascii="Cambria Math" w:hAnsi="Cambria Math" w:cs="Cambria Math"/>
                <w:color w:val="00B050"/>
              </w:rPr>
              <w:t>⨁⨁⨁</w:t>
            </w:r>
            <w:r w:rsidRPr="009F466A">
              <w:rPr>
                <w:rFonts w:ascii="Cambria Math" w:hAnsi="Cambria Math" w:cs="Cambria Math"/>
                <w:color w:val="C00000"/>
              </w:rPr>
              <w:t>⨀</w:t>
            </w:r>
            <w:r w:rsidRPr="009F466A">
              <w:t>)</w:t>
            </w:r>
          </w:p>
          <w:p w:rsidR="00321DBE" w:rsidRPr="009F466A" w:rsidRDefault="00321DBE" w:rsidP="00C21496">
            <w:pPr>
              <w:pStyle w:val="TableTextDusc"/>
            </w:pPr>
            <w:r w:rsidRPr="009F466A">
              <w:t>Patients on combination therapy had a larger mean improvement in their 6MWD than those on monotherapy, but the difference was not clinically important (range 8.6−13.6 m walked further)</w:t>
            </w:r>
          </w:p>
          <w:p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Dusc"/>
            </w:pPr>
            <w:r w:rsidRPr="009F466A">
              <w:t>Patients with PAH-CTD</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rPr>
                <w:rFonts w:cs="Arial"/>
              </w:rPr>
            </w:pPr>
            <w:r w:rsidRPr="009F466A">
              <w:t>AMBITION (tadalafil/ambrisentan)</w:t>
            </w:r>
            <w:r w:rsidRPr="009F466A">
              <w:rPr>
                <w:rFonts w:cs="Arial"/>
              </w:rPr>
              <w:t xml:space="preserve"> </w:t>
            </w:r>
          </w:p>
          <w:p w:rsidR="00321DBE" w:rsidRPr="009F466A" w:rsidRDefault="00321DBE" w:rsidP="00C21496">
            <w:pPr>
              <w:pStyle w:val="TableTextDusc"/>
            </w:pPr>
            <w:r w:rsidRPr="009F466A">
              <w:rPr>
                <w:rFonts w:cs="Arial"/>
              </w:rPr>
              <w:t>N=147</w:t>
            </w:r>
          </w:p>
        </w:tc>
        <w:tc>
          <w:tcPr>
            <w:tcW w:w="609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Dusc"/>
            </w:pPr>
            <w:r w:rsidRPr="009F466A">
              <w:t>Fewer patients experienced clinical worsening with combination therapy compared with monotherapy, but the result just failed to reach statistical significance (HR = 0.51; 95% CI 0.25, 1.01)</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Change in 6MWD from baseline</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Dusc"/>
            </w:pPr>
            <w:r w:rsidRPr="009F466A">
              <w:t>PHIRST</w:t>
            </w:r>
            <w:r w:rsidRPr="009F466A">
              <w:br/>
              <w:t>(tadalafil/bosentan)</w:t>
            </w:r>
          </w:p>
          <w:p w:rsidR="00321DBE" w:rsidRPr="009F466A" w:rsidRDefault="00321DBE" w:rsidP="00C21496">
            <w:pPr>
              <w:pStyle w:val="TableTextDusc"/>
              <w:rPr>
                <w:rFonts w:cs="Arial"/>
              </w:rPr>
            </w:pPr>
            <w:proofErr w:type="spellStart"/>
            <w:r w:rsidRPr="009F466A">
              <w:t>Vizza</w:t>
            </w:r>
            <w:proofErr w:type="spellEnd"/>
            <w:r w:rsidRPr="009F466A">
              <w:t xml:space="preserve"> 2017 (sildenafil/bosentan)</w:t>
            </w:r>
            <w:r w:rsidRPr="009F466A">
              <w:rPr>
                <w:rFonts w:cs="Arial"/>
              </w:rPr>
              <w:t xml:space="preserve"> </w:t>
            </w:r>
          </w:p>
          <w:p w:rsidR="00321DBE" w:rsidRPr="009F466A" w:rsidRDefault="00321DBE" w:rsidP="00C21496">
            <w:pPr>
              <w:pStyle w:val="TableTextDusc"/>
            </w:pPr>
            <w:r w:rsidRPr="009F466A">
              <w:rPr>
                <w:rFonts w:cs="Arial"/>
              </w:rPr>
              <w:t>N=55</w:t>
            </w:r>
          </w:p>
        </w:tc>
        <w:tc>
          <w:tcPr>
            <w:tcW w:w="6095" w:type="dxa"/>
          </w:tcPr>
          <w:p w:rsidR="00321DBE" w:rsidRPr="009F466A" w:rsidRDefault="00321DBE" w:rsidP="00C21496">
            <w:pPr>
              <w:pStyle w:val="TableTextDusc"/>
            </w:pPr>
            <w:r w:rsidRPr="009F466A">
              <w:t xml:space="preserve">Very low quality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rPr>
                <w:rFonts w:ascii="Cambria Math" w:hAnsi="Cambria Math" w:cs="Cambria Math"/>
                <w:color w:val="C00000"/>
              </w:rPr>
              <w:t>⨀</w:t>
            </w:r>
            <w:r w:rsidRPr="009F466A">
              <w:rPr>
                <w:rFonts w:ascii="Cambria Math" w:eastAsia="Times New Roman" w:hAnsi="Cambria Math" w:cs="Cambria Math"/>
                <w:bCs/>
                <w:color w:val="FF0000"/>
              </w:rPr>
              <w:t>⨀</w:t>
            </w:r>
            <w:r w:rsidRPr="009F466A">
              <w:t>)</w:t>
            </w:r>
          </w:p>
          <w:p w:rsidR="00321DBE" w:rsidRPr="009F466A" w:rsidRDefault="00321DBE" w:rsidP="00C21496">
            <w:pPr>
              <w:pStyle w:val="TableTextDusc"/>
            </w:pPr>
            <w:r w:rsidRPr="009F466A">
              <w:t>Patients on combination therapy had a wide range of change in their 6MWD compared with those on monotherapy, but the difference was not clinically important (range 34.1 m less to 20.7 m walked further)</w:t>
            </w:r>
          </w:p>
          <w:p w:rsidR="00321DBE" w:rsidRPr="009F466A" w:rsidRDefault="00321DBE" w:rsidP="00C21496">
            <w:pPr>
              <w:pStyle w:val="TableTextDusc"/>
            </w:pPr>
            <w:r w:rsidRPr="009F466A">
              <w:t>There were no significant differences in treatment effectiveness for the different treatment combinations</w:t>
            </w:r>
          </w:p>
        </w:tc>
      </w:tr>
    </w:tbl>
    <w:p w:rsidR="00321DBE" w:rsidRPr="00532B79" w:rsidRDefault="00321DBE" w:rsidP="00C21496">
      <w:pPr>
        <w:pStyle w:val="Tablenote"/>
        <w:jc w:val="left"/>
      </w:pPr>
      <w:r w:rsidRPr="00532B79">
        <w:t xml:space="preserve">6MWD = 6-minute walk distance; CI = confidence interval; ERA = endothelin receptor antagonist; FC = functional class; GRADE = grading of recommendations assessment, development and evaluation1; HPAH = heritable PAH; HR = hazard ratio; IPAH = idiopathic PAH; MD = mean difference; </w:t>
      </w:r>
      <w:proofErr w:type="spellStart"/>
      <w:r w:rsidRPr="00532B79">
        <w:t>mPAP</w:t>
      </w:r>
      <w:proofErr w:type="spellEnd"/>
      <w:r w:rsidRPr="00532B79">
        <w:t xml:space="preserve"> = mean pulmonary artery pressure; PAH = pulmonary arterial hypertension; PAH-CTD = PAH associated with connective tissue disease; PDE-5 = phosphodiesterase type-5; PVR = pulmonary vascular resistance; RR = relative risk; WHO = World Health Organization </w:t>
      </w:r>
    </w:p>
    <w:p w:rsidR="0016033A" w:rsidRPr="0016033A" w:rsidRDefault="0016033A" w:rsidP="00C21496">
      <w:pPr>
        <w:pStyle w:val="Heading5"/>
        <w:keepLines w:val="0"/>
        <w:numPr>
          <w:ilvl w:val="0"/>
          <w:numId w:val="0"/>
        </w:numPr>
        <w:spacing w:before="240"/>
        <w:jc w:val="left"/>
        <w:rPr>
          <w:color w:val="auto"/>
          <w:u w:val="single"/>
        </w:rPr>
      </w:pPr>
      <w:bookmarkStart w:id="95" w:name="_Ref506197561"/>
      <w:bookmarkStart w:id="96" w:name="_Toc508396843"/>
      <w:r w:rsidRPr="0016033A">
        <w:rPr>
          <w:color w:val="auto"/>
          <w:u w:val="single"/>
        </w:rPr>
        <w:lastRenderedPageBreak/>
        <w:t>Safety</w:t>
      </w:r>
    </w:p>
    <w:p w:rsidR="0016033A" w:rsidRPr="0034017B" w:rsidRDefault="0016033A" w:rsidP="00C21496">
      <w:pPr>
        <w:jc w:val="left"/>
      </w:pPr>
      <w:r>
        <w:t>Four</w:t>
      </w:r>
      <w:r w:rsidRPr="0034017B">
        <w:t xml:space="preserve"> RCTs reported on the comparative safety of treatment with a PDE-5 inhibitor plus a</w:t>
      </w:r>
      <w:r>
        <w:t>n</w:t>
      </w:r>
      <w:r w:rsidRPr="0034017B">
        <w:t xml:space="preserve"> ERA compared with a</w:t>
      </w:r>
      <w:r>
        <w:t>n</w:t>
      </w:r>
      <w:r w:rsidRPr="0034017B">
        <w:t xml:space="preserve"> </w:t>
      </w:r>
      <w:r>
        <w:t>ERA</w:t>
      </w:r>
      <w:r w:rsidRPr="0034017B">
        <w:t xml:space="preserve"> alone in any patient with PAH:</w:t>
      </w:r>
    </w:p>
    <w:p w:rsidR="0016033A" w:rsidRPr="0034017B" w:rsidRDefault="0016033A" w:rsidP="00C21496">
      <w:pPr>
        <w:pStyle w:val="Bullettext"/>
        <w:ind w:left="720"/>
      </w:pPr>
      <w:r>
        <w:t xml:space="preserve">PHIRST, AMBITION, </w:t>
      </w:r>
      <w:proofErr w:type="spellStart"/>
      <w:r>
        <w:t>Vizza</w:t>
      </w:r>
      <w:proofErr w:type="spellEnd"/>
      <w:r>
        <w:t xml:space="preserve"> 2017</w:t>
      </w:r>
      <w:r w:rsidRPr="00CF209C">
        <w:t xml:space="preserve"> and </w:t>
      </w:r>
      <w:r>
        <w:t>Zhuang 2014</w:t>
      </w:r>
    </w:p>
    <w:p w:rsidR="0016033A" w:rsidRPr="0034017B" w:rsidRDefault="0016033A" w:rsidP="00C21496">
      <w:pPr>
        <w:pStyle w:val="Bullettext"/>
        <w:ind w:left="720"/>
      </w:pPr>
      <w:r w:rsidRPr="00B96C6F">
        <w:t xml:space="preserve">There were no new </w:t>
      </w:r>
      <w:r>
        <w:t>safety signals identified</w:t>
      </w:r>
      <w:r w:rsidRPr="0034017B">
        <w:t>.</w:t>
      </w:r>
    </w:p>
    <w:p w:rsidR="0016033A" w:rsidRPr="0034017B" w:rsidRDefault="0016033A" w:rsidP="00C21496">
      <w:pPr>
        <w:jc w:val="left"/>
      </w:pPr>
      <w:r w:rsidRPr="0034017B">
        <w:t>The evidence provided by these trials for all PAH patients is summarised in</w:t>
      </w:r>
      <w:r>
        <w:t xml:space="preserve"> </w:t>
      </w:r>
      <w:r w:rsidR="00CC79E1">
        <w:t>Table ES.</w:t>
      </w:r>
      <w:r w:rsidR="00CC79E1">
        <w:rPr>
          <w:noProof/>
        </w:rPr>
        <w:t>14</w:t>
      </w:r>
      <w:r w:rsidRPr="0034017B">
        <w:t>.</w:t>
      </w:r>
    </w:p>
    <w:p w:rsidR="0016033A" w:rsidRPr="0034017B" w:rsidRDefault="0016033A" w:rsidP="00C21496">
      <w:pPr>
        <w:jc w:val="left"/>
      </w:pPr>
      <w:r>
        <w:t xml:space="preserve">Overall, </w:t>
      </w:r>
      <w:r w:rsidRPr="001E5DED">
        <w:t xml:space="preserve">the use of a PDE-5 inhibitor in addition to </w:t>
      </w:r>
      <w:r>
        <w:t xml:space="preserve">an </w:t>
      </w:r>
      <w:r w:rsidRPr="001E5DED">
        <w:t xml:space="preserve">ERA </w:t>
      </w:r>
      <w:r>
        <w:t xml:space="preserve">appears non-inferior to </w:t>
      </w:r>
      <w:r w:rsidRPr="001E5DED">
        <w:t>ERA monotherapy when treating PAH patients</w:t>
      </w:r>
      <w:r>
        <w:t xml:space="preserve"> overall, although there is possible safety concern for serious adverse events (AEs) in the subgroup of </w:t>
      </w:r>
      <w:r w:rsidRPr="001E5DED">
        <w:t>patients with PAH-CTD</w:t>
      </w:r>
      <w:r>
        <w:t>.</w:t>
      </w:r>
    </w:p>
    <w:p w:rsidR="008B580D" w:rsidRPr="008B580D" w:rsidRDefault="008B580D" w:rsidP="00C21496">
      <w:pPr>
        <w:pStyle w:val="Caption"/>
        <w:jc w:val="left"/>
      </w:pPr>
      <w:bookmarkStart w:id="97" w:name="_Ref511118835"/>
      <w:bookmarkStart w:id="98" w:name="_Toc513108458"/>
      <w:bookmarkEnd w:id="95"/>
      <w:bookmarkEnd w:id="96"/>
      <w:r>
        <w:t>Table ES.</w:t>
      </w:r>
      <w:r w:rsidR="00CC79E1">
        <w:rPr>
          <w:noProof/>
        </w:rPr>
        <w:t>14</w:t>
      </w:r>
      <w:bookmarkEnd w:id="97"/>
      <w:r>
        <w:tab/>
      </w:r>
      <w:r w:rsidRPr="009F466A">
        <w:t>Summary of the evidence for the safety of a PDE-5 inhibitor in addition to an ERA, relative to ERA monotherapy</w:t>
      </w:r>
      <w:bookmarkEnd w:id="98"/>
    </w:p>
    <w:tbl>
      <w:tblPr>
        <w:tblStyle w:val="TableGrid"/>
        <w:tblW w:w="9634" w:type="dxa"/>
        <w:tblLayout w:type="fixed"/>
        <w:tblLook w:val="04A0" w:firstRow="1" w:lastRow="0" w:firstColumn="1" w:lastColumn="0" w:noHBand="0" w:noVBand="1"/>
        <w:tblCaption w:val="Summary of the evidence for the safety of a PDE-5 inhibitor in addition to an ERA, relative to ERA monotherapy"/>
      </w:tblPr>
      <w:tblGrid>
        <w:gridCol w:w="1696"/>
        <w:gridCol w:w="2098"/>
        <w:gridCol w:w="142"/>
        <w:gridCol w:w="5698"/>
      </w:tblGrid>
      <w:tr w:rsidR="00321DBE" w:rsidRPr="009F466A" w:rsidTr="008979BD">
        <w:trPr>
          <w:tblHead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Outcome</w:t>
            </w: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 xml:space="preserve">Included trials </w:t>
            </w:r>
          </w:p>
          <w:p w:rsidR="00321DBE" w:rsidRPr="00A4053B" w:rsidRDefault="00321DBE" w:rsidP="00C21496">
            <w:pPr>
              <w:pStyle w:val="Tabletext"/>
              <w:rPr>
                <w:b/>
              </w:rPr>
            </w:pPr>
            <w:r w:rsidRPr="00A4053B">
              <w:rPr>
                <w:b/>
              </w:rPr>
              <w:t>No. of patients</w:t>
            </w:r>
          </w:p>
        </w:tc>
        <w:tc>
          <w:tcPr>
            <w:tcW w:w="58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321DBE">
        <w:tc>
          <w:tcPr>
            <w:tcW w:w="9634" w:type="dxa"/>
            <w:gridSpan w:val="4"/>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All PAH patients</w:t>
            </w:r>
          </w:p>
        </w:tc>
      </w:tr>
      <w:tr w:rsidR="00321DBE" w:rsidRPr="009F466A" w:rsidTr="00AA4B84">
        <w:tc>
          <w:tcPr>
            <w:tcW w:w="1696"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Any AE</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PHIRST (tadalafil/bosentan)</w:t>
            </w:r>
          </w:p>
          <w:p w:rsidR="00321DBE" w:rsidRPr="00532B79" w:rsidRDefault="00321DBE" w:rsidP="00C21496">
            <w:pPr>
              <w:pStyle w:val="Tabletext"/>
            </w:pPr>
            <w:proofErr w:type="spellStart"/>
            <w:r w:rsidRPr="00532B79">
              <w:t>Vizza</w:t>
            </w:r>
            <w:proofErr w:type="spellEnd"/>
            <w:r w:rsidRPr="00532B79">
              <w:t xml:space="preserve"> 2017 (sildenafil/bosentan) </w:t>
            </w:r>
          </w:p>
          <w:p w:rsidR="00321DBE" w:rsidRPr="00532B79" w:rsidRDefault="00321DBE" w:rsidP="00C21496">
            <w:pPr>
              <w:pStyle w:val="Tabletext"/>
            </w:pPr>
            <w:r w:rsidRPr="00532B79">
              <w:t>N=190</w:t>
            </w:r>
          </w:p>
        </w:tc>
        <w:tc>
          <w:tcPr>
            <w:tcW w:w="5698"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The proportion of patients who had any AE was similar for both the combination therapy and monotherapy arms (pooled RR = 1.00; 95% CI 0.79, 1.27)</w:t>
            </w:r>
          </w:p>
          <w:p w:rsidR="00321DBE" w:rsidRPr="00532B79" w:rsidRDefault="00321DBE" w:rsidP="00C21496">
            <w:pPr>
              <w:pStyle w:val="Tabletext"/>
            </w:pPr>
            <w:r w:rsidRPr="00532B79">
              <w:t>There were no significant differences in treatment effectiveness for the different treatment combinations</w:t>
            </w:r>
          </w:p>
        </w:tc>
      </w:tr>
      <w:tr w:rsidR="00321DBE" w:rsidRPr="009F466A" w:rsidTr="00AA4B84">
        <w:tc>
          <w:tcPr>
            <w:tcW w:w="1696" w:type="dxa"/>
          </w:tcPr>
          <w:p w:rsidR="00321DBE" w:rsidRPr="00532B79" w:rsidRDefault="00321DBE" w:rsidP="00C21496">
            <w:pPr>
              <w:pStyle w:val="Tabletext"/>
            </w:pPr>
            <w:r w:rsidRPr="00532B79">
              <w:t>Serious AEs</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AMBITION (tadalafil/ambrisentan)</w:t>
            </w:r>
          </w:p>
          <w:p w:rsidR="00321DBE" w:rsidRPr="00532B79" w:rsidRDefault="00321DBE" w:rsidP="00C21496">
            <w:pPr>
              <w:pStyle w:val="Tabletext"/>
            </w:pPr>
            <w:proofErr w:type="spellStart"/>
            <w:r w:rsidRPr="00532B79">
              <w:t>Vizza</w:t>
            </w:r>
            <w:proofErr w:type="spellEnd"/>
            <w:r w:rsidRPr="00532B79">
              <w:t xml:space="preserve"> 2017 (sildenafil/bosentan) </w:t>
            </w:r>
          </w:p>
          <w:p w:rsidR="00321DBE" w:rsidRPr="00532B79" w:rsidRDefault="00321DBE" w:rsidP="00C21496">
            <w:pPr>
              <w:pStyle w:val="Tabletext"/>
            </w:pPr>
            <w:r w:rsidRPr="00532B79">
              <w:t>N=482</w:t>
            </w:r>
          </w:p>
        </w:tc>
        <w:tc>
          <w:tcPr>
            <w:tcW w:w="5698"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The proportion of patients who had a serious AE was similar for both the combination therapy and monotherapy arms (pooled RR = 0.99; 95% CI 0.76, 1.29)</w:t>
            </w:r>
          </w:p>
          <w:p w:rsidR="00321DBE" w:rsidRPr="00532B79" w:rsidRDefault="00321DBE" w:rsidP="00C21496">
            <w:pPr>
              <w:pStyle w:val="Tabletext"/>
            </w:pPr>
            <w:r w:rsidRPr="00532B79">
              <w:t>There were no significant differences in treatment effectiveness for the different treatment combinations</w:t>
            </w:r>
          </w:p>
        </w:tc>
      </w:tr>
      <w:tr w:rsidR="00321DBE" w:rsidRPr="009F466A" w:rsidTr="00AA4B84">
        <w:tc>
          <w:tcPr>
            <w:tcW w:w="1696" w:type="dxa"/>
          </w:tcPr>
          <w:p w:rsidR="00321DBE" w:rsidRPr="00532B79" w:rsidRDefault="00321DBE" w:rsidP="00C21496">
            <w:pPr>
              <w:pStyle w:val="Tabletext"/>
            </w:pPr>
            <w:r w:rsidRPr="00532B79">
              <w:t>AEs leading to treatment discontinuation</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AMBITION (tadalafil/ambrisentan)</w:t>
            </w:r>
          </w:p>
          <w:p w:rsidR="00321DBE" w:rsidRPr="00532B79" w:rsidRDefault="00321DBE" w:rsidP="00C21496">
            <w:pPr>
              <w:pStyle w:val="Tabletext"/>
            </w:pPr>
            <w:r w:rsidRPr="00532B79">
              <w:t xml:space="preserve">Zhuang 2014 (tadalafil/ambrisentan) </w:t>
            </w:r>
          </w:p>
          <w:p w:rsidR="00321DBE" w:rsidRPr="00532B79" w:rsidRDefault="00321DBE" w:rsidP="00C21496">
            <w:pPr>
              <w:pStyle w:val="Tabletext"/>
            </w:pPr>
            <w:r w:rsidRPr="00532B79">
              <w:t>N=503</w:t>
            </w:r>
          </w:p>
        </w:tc>
        <w:tc>
          <w:tcPr>
            <w:tcW w:w="5698"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had an AE leading to treatment discontinuation with combination therapy compared with monotherapy, but the 95% CI indicates that there could also be an effect in the opposite direction (pooled RR = 1.65; 95% CI 0.35, 7.81)</w:t>
            </w:r>
          </w:p>
          <w:p w:rsidR="00321DBE" w:rsidRPr="00532B79" w:rsidRDefault="00321DBE" w:rsidP="00C21496">
            <w:pPr>
              <w:pStyle w:val="Tabletext"/>
            </w:pPr>
            <w:r w:rsidRPr="00532B79">
              <w:t>There were no significant differences in treatment effectiveness for the different treatment combinations</w:t>
            </w:r>
          </w:p>
        </w:tc>
      </w:tr>
      <w:tr w:rsidR="00321DBE" w:rsidRPr="009F466A" w:rsidTr="00321DBE">
        <w:tc>
          <w:tcPr>
            <w:tcW w:w="9634" w:type="dxa"/>
            <w:gridSpan w:val="4"/>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Patients with PAH-CTD</w:t>
            </w:r>
          </w:p>
        </w:tc>
      </w:tr>
      <w:tr w:rsidR="00321DBE" w:rsidRPr="009F466A" w:rsidTr="008F752B">
        <w:tc>
          <w:tcPr>
            <w:tcW w:w="1696"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Any AE </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AMBITION (tadalafil/ambrisentan) </w:t>
            </w:r>
          </w:p>
          <w:p w:rsidR="00321DBE" w:rsidRPr="00532B79" w:rsidRDefault="00321DBE" w:rsidP="00C21496">
            <w:pPr>
              <w:pStyle w:val="Tabletext"/>
            </w:pPr>
            <w:r w:rsidRPr="00532B79">
              <w:t>N=146</w:t>
            </w:r>
          </w:p>
        </w:tc>
        <w:tc>
          <w:tcPr>
            <w:tcW w:w="5698"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The proportion of patients who had any AE was similar for both the combination therapy and monotherapy arms (RR = 1.04; 95% CI 0.97, 1.11)</w:t>
            </w:r>
          </w:p>
        </w:tc>
      </w:tr>
      <w:tr w:rsidR="00321DBE" w:rsidRPr="009F466A" w:rsidTr="008F752B">
        <w:tc>
          <w:tcPr>
            <w:tcW w:w="1696" w:type="dxa"/>
          </w:tcPr>
          <w:p w:rsidR="00321DBE" w:rsidRPr="00532B79" w:rsidRDefault="00321DBE" w:rsidP="00C21496">
            <w:pPr>
              <w:pStyle w:val="Tabletext"/>
            </w:pPr>
            <w:r w:rsidRPr="00532B79">
              <w:t>Serious AEs</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AMBITION (tadalafil/ambrisentan) </w:t>
            </w:r>
          </w:p>
          <w:p w:rsidR="00321DBE" w:rsidRPr="00532B79" w:rsidRDefault="00321DBE" w:rsidP="00C21496">
            <w:pPr>
              <w:pStyle w:val="Tabletext"/>
            </w:pPr>
            <w:r w:rsidRPr="00532B79">
              <w:t>N=146</w:t>
            </w:r>
          </w:p>
        </w:tc>
        <w:tc>
          <w:tcPr>
            <w:tcW w:w="5698"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had a serious AE with combination therapy compared with monotherapy, but the 95% CI indicates that there could also be an effect in the opposite direction (RR = 1.28; 95% CI 0.80, 2.04)</w:t>
            </w:r>
          </w:p>
        </w:tc>
      </w:tr>
      <w:tr w:rsidR="00321DBE" w:rsidRPr="009F466A" w:rsidTr="008F752B">
        <w:tc>
          <w:tcPr>
            <w:tcW w:w="1696" w:type="dxa"/>
          </w:tcPr>
          <w:p w:rsidR="00321DBE" w:rsidRPr="00532B79" w:rsidRDefault="00321DBE" w:rsidP="00C21496">
            <w:pPr>
              <w:pStyle w:val="Tabletext"/>
            </w:pPr>
            <w:r w:rsidRPr="00532B79">
              <w:t xml:space="preserve">AEs leading to treatment </w:t>
            </w:r>
            <w:r w:rsidRPr="00532B79">
              <w:lastRenderedPageBreak/>
              <w:t>discontinuation</w:t>
            </w:r>
          </w:p>
        </w:tc>
        <w:tc>
          <w:tcPr>
            <w:tcW w:w="2240" w:type="dxa"/>
            <w:gridSpan w:val="2"/>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lastRenderedPageBreak/>
              <w:t xml:space="preserve">AMBITION (tadalafil/ambrisentan) </w:t>
            </w:r>
          </w:p>
          <w:p w:rsidR="00321DBE" w:rsidRPr="00532B79" w:rsidRDefault="00321DBE" w:rsidP="00C21496">
            <w:pPr>
              <w:pStyle w:val="Tabletext"/>
            </w:pPr>
            <w:r w:rsidRPr="00532B79">
              <w:lastRenderedPageBreak/>
              <w:t>N=146</w:t>
            </w:r>
          </w:p>
        </w:tc>
        <w:tc>
          <w:tcPr>
            <w:tcW w:w="5698"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lastRenderedPageBreak/>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Fewer patients had an AE leading to treatment </w:t>
            </w:r>
            <w:r w:rsidRPr="00532B79">
              <w:lastRenderedPageBreak/>
              <w:t>discontinuation with combination therapy compared with monotherapy, but the 95% CI indicates that there could also be an effect in the opposite direction (RR = 0.75; 95% CI 0.34, 1.65)</w:t>
            </w:r>
          </w:p>
        </w:tc>
      </w:tr>
    </w:tbl>
    <w:p w:rsidR="00321DBE" w:rsidRPr="00532B79" w:rsidRDefault="00321DBE" w:rsidP="00C21496">
      <w:pPr>
        <w:pStyle w:val="Tablenote"/>
        <w:jc w:val="left"/>
      </w:pPr>
      <w:r w:rsidRPr="00532B79">
        <w:lastRenderedPageBreak/>
        <w:t>AE = adverse event; CI = confidence interval; ERA = endothelin receptor antagonist; GRADE = grading of recommendations assessment, development and evaluation1; PAH = pulmonary arterial hypertension; PAH-CTD = PAH associated with connective tissue disease; PDE-5 = phosphodiesterase type-5; RR = relative risk</w:t>
      </w:r>
    </w:p>
    <w:p w:rsidR="00321DBE" w:rsidRPr="009F466A" w:rsidRDefault="00321DBE" w:rsidP="00C21496">
      <w:pPr>
        <w:pStyle w:val="Heading4"/>
      </w:pPr>
      <w:r w:rsidRPr="009F466A">
        <w:t>PDE-5 inhibitor in addition to prostanoid</w:t>
      </w:r>
    </w:p>
    <w:p w:rsidR="0016033A" w:rsidRPr="0016033A" w:rsidRDefault="0016033A" w:rsidP="00C21496">
      <w:pPr>
        <w:pStyle w:val="Heading5"/>
        <w:keepLines w:val="0"/>
        <w:numPr>
          <w:ilvl w:val="0"/>
          <w:numId w:val="0"/>
        </w:numPr>
        <w:spacing w:before="240"/>
        <w:jc w:val="left"/>
        <w:rPr>
          <w:color w:val="auto"/>
          <w:u w:val="single"/>
        </w:rPr>
      </w:pPr>
      <w:bookmarkStart w:id="99" w:name="_Ref506197499"/>
      <w:bookmarkStart w:id="100" w:name="_Toc508396844"/>
      <w:r w:rsidRPr="0016033A">
        <w:rPr>
          <w:color w:val="auto"/>
          <w:u w:val="single"/>
        </w:rPr>
        <w:t>Clinical effectiveness</w:t>
      </w:r>
    </w:p>
    <w:p w:rsidR="0016033A" w:rsidRPr="00C77B6A" w:rsidRDefault="0016033A" w:rsidP="00C21496">
      <w:pPr>
        <w:spacing w:after="40"/>
        <w:jc w:val="left"/>
      </w:pPr>
      <w:r>
        <w:t>One</w:t>
      </w:r>
      <w:r w:rsidRPr="00C77B6A">
        <w:t xml:space="preserve"> RCT reported on the effectiveness of a </w:t>
      </w:r>
      <w:r w:rsidRPr="00BB4EA0">
        <w:t xml:space="preserve">PDE-5 inhibitor </w:t>
      </w:r>
      <w:r w:rsidRPr="00C77B6A">
        <w:t xml:space="preserve">in addition to </w:t>
      </w:r>
      <w:r>
        <w:t xml:space="preserve">a </w:t>
      </w:r>
      <w:r w:rsidRPr="00C77B6A">
        <w:t>prosta</w:t>
      </w:r>
      <w:r>
        <w:t>noid</w:t>
      </w:r>
      <w:r w:rsidRPr="00C77B6A">
        <w:t xml:space="preserve"> in treating PAH compared with place</w:t>
      </w:r>
      <w:r>
        <w:t>bo plus a prostanoid:</w:t>
      </w:r>
    </w:p>
    <w:p w:rsidR="0016033A" w:rsidRPr="00D103A9" w:rsidRDefault="0016033A" w:rsidP="00C21496">
      <w:pPr>
        <w:pStyle w:val="Bullettext"/>
        <w:ind w:left="720"/>
        <w:rPr>
          <w:bCs/>
        </w:rPr>
      </w:pPr>
      <w:r>
        <w:t>PACES</w:t>
      </w:r>
      <w:r w:rsidRPr="00C77B6A">
        <w:t>-</w:t>
      </w:r>
      <w:r>
        <w:t>1</w:t>
      </w:r>
      <w:r w:rsidRPr="00C77B6A">
        <w:t xml:space="preserve"> enrolled patients </w:t>
      </w:r>
      <w:r w:rsidRPr="00BB4EA0">
        <w:t xml:space="preserve">receiving long-term intravenous epoprostenol therapy to receive combination therapy with sildenafil plus epoprostenol </w:t>
      </w:r>
      <w:r>
        <w:t xml:space="preserve">or </w:t>
      </w:r>
      <w:r w:rsidRPr="00BB4EA0">
        <w:t xml:space="preserve">epoprostenol </w:t>
      </w:r>
      <w:r>
        <w:t>alone.</w:t>
      </w:r>
    </w:p>
    <w:p w:rsidR="0016033A" w:rsidRDefault="0016033A" w:rsidP="00C21496">
      <w:pPr>
        <w:jc w:val="left"/>
      </w:pPr>
      <w:r>
        <w:t xml:space="preserve">The evidence provided by this trial for all PAH patients is summarised in </w:t>
      </w:r>
      <w:r w:rsidR="00CC79E1">
        <w:t>Table ES.</w:t>
      </w:r>
      <w:r w:rsidR="00CC79E1">
        <w:rPr>
          <w:noProof/>
        </w:rPr>
        <w:t>15</w:t>
      </w:r>
      <w:r>
        <w:t>.</w:t>
      </w:r>
    </w:p>
    <w:p w:rsidR="0016033A" w:rsidRDefault="0016033A" w:rsidP="00C21496">
      <w:pPr>
        <w:jc w:val="left"/>
      </w:pPr>
      <w:r>
        <w:t xml:space="preserve">Overall, </w:t>
      </w:r>
      <w:r w:rsidRPr="001E5DED">
        <w:t xml:space="preserve">the use of </w:t>
      </w:r>
      <w:r>
        <w:t xml:space="preserve">a </w:t>
      </w:r>
      <w:r w:rsidRPr="001E5DED">
        <w:t>PDE-5 inhibitor in addition to</w:t>
      </w:r>
      <w:r w:rsidRPr="006A201F">
        <w:t xml:space="preserve"> </w:t>
      </w:r>
      <w:r w:rsidRPr="001E5DED">
        <w:t xml:space="preserve">a </w:t>
      </w:r>
      <w:r>
        <w:t>prostanoid</w:t>
      </w:r>
      <w:r w:rsidRPr="001E5DED">
        <w:t xml:space="preserve">, relative to </w:t>
      </w:r>
      <w:r>
        <w:t>prostanoid</w:t>
      </w:r>
      <w:r w:rsidRPr="001E5DED">
        <w:t xml:space="preserve"> monotherapy</w:t>
      </w:r>
      <w:r>
        <w:t>,</w:t>
      </w:r>
      <w:r w:rsidRPr="001E5DED">
        <w:t xml:space="preserve"> to treat PAH patients is likely to be beneficial</w:t>
      </w:r>
      <w:r w:rsidRPr="006316DF">
        <w:t xml:space="preserve">. </w:t>
      </w:r>
    </w:p>
    <w:p w:rsidR="008B580D" w:rsidRPr="008B580D" w:rsidRDefault="008B580D" w:rsidP="00C21496">
      <w:pPr>
        <w:pStyle w:val="Caption"/>
        <w:jc w:val="left"/>
      </w:pPr>
      <w:bookmarkStart w:id="101" w:name="_Ref511118843"/>
      <w:bookmarkStart w:id="102" w:name="_Toc513108459"/>
      <w:bookmarkEnd w:id="99"/>
      <w:bookmarkEnd w:id="100"/>
      <w:r>
        <w:t>Table ES.</w:t>
      </w:r>
      <w:r w:rsidR="00CC79E1">
        <w:rPr>
          <w:noProof/>
        </w:rPr>
        <w:t>15</w:t>
      </w:r>
      <w:bookmarkEnd w:id="101"/>
      <w:r>
        <w:tab/>
      </w:r>
      <w:r w:rsidRPr="009F466A">
        <w:t>Summary of the evidence for the clinical effectiveness of a PDE-5 inhibitor in addition to a prostanoid, relative to prostanoid monotherapy</w:t>
      </w:r>
      <w:bookmarkEnd w:id="102"/>
    </w:p>
    <w:tbl>
      <w:tblPr>
        <w:tblStyle w:val="TableGrid"/>
        <w:tblW w:w="9634" w:type="dxa"/>
        <w:tblLook w:val="04A0" w:firstRow="1" w:lastRow="0" w:firstColumn="1" w:lastColumn="0" w:noHBand="0" w:noVBand="1"/>
        <w:tblCaption w:val="Summary of the evidence for the clinical effectiveness of a PDE-5 inhibitor in addition to a prostanoid, relative to prostanoid monotherapy"/>
      </w:tblPr>
      <w:tblGrid>
        <w:gridCol w:w="1573"/>
        <w:gridCol w:w="2340"/>
        <w:gridCol w:w="5721"/>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 xml:space="preserve">Included trials </w:t>
            </w:r>
          </w:p>
          <w:p w:rsidR="00321DBE" w:rsidRPr="00A4053B" w:rsidRDefault="00321DBE" w:rsidP="00C21496">
            <w:pPr>
              <w:pStyle w:val="Tabletext"/>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All PAH patients</w:t>
            </w:r>
          </w:p>
        </w:tc>
      </w:tr>
      <w:tr w:rsidR="00321DBE" w:rsidRPr="009F466A" w:rsidTr="00321DBE">
        <w:tc>
          <w:tcPr>
            <w:tcW w:w="1555" w:type="dxa"/>
          </w:tcPr>
          <w:p w:rsidR="00321DBE" w:rsidRPr="00532B79" w:rsidRDefault="00321DBE" w:rsidP="00C21496">
            <w:pPr>
              <w:pStyle w:val="Tabletext"/>
            </w:pPr>
            <w:r w:rsidRPr="00532B79">
              <w:t>Clinical worsening</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PACES-1 (sildenafil/epoprostenol)</w:t>
            </w:r>
          </w:p>
          <w:p w:rsidR="00321DBE" w:rsidRPr="00532B79" w:rsidRDefault="00321DBE" w:rsidP="00C21496">
            <w:pPr>
              <w:pStyle w:val="Tabletext"/>
            </w:pPr>
            <w:r w:rsidRPr="00532B79">
              <w:t>N=265</w:t>
            </w:r>
          </w:p>
        </w:tc>
        <w:tc>
          <w:tcPr>
            <w:tcW w:w="6095"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Significantly fewer patients experienced clinical worsening of their PAH with combination therapy compared with monotherapy (RR = 0.33; 95% CI 0.15, 0.70)</w:t>
            </w:r>
          </w:p>
        </w:tc>
      </w:tr>
      <w:tr w:rsidR="00321DBE" w:rsidRPr="009F466A" w:rsidTr="00321DBE">
        <w:tc>
          <w:tcPr>
            <w:tcW w:w="1555" w:type="dxa"/>
          </w:tcPr>
          <w:p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PACES-1 (sildenafil/epoprostenol) </w:t>
            </w:r>
          </w:p>
          <w:p w:rsidR="00321DBE" w:rsidRPr="00532B79" w:rsidRDefault="00321DBE" w:rsidP="00C21496">
            <w:pPr>
              <w:pStyle w:val="Tabletext"/>
            </w:pPr>
            <w:r w:rsidRPr="00532B79">
              <w:t>N=265</w:t>
            </w:r>
          </w:p>
        </w:tc>
        <w:tc>
          <w:tcPr>
            <w:tcW w:w="6095" w:type="dxa"/>
          </w:tcPr>
          <w:p w:rsidR="00321DBE" w:rsidRPr="00532B79" w:rsidRDefault="00321DBE" w:rsidP="00C21496">
            <w:pPr>
              <w:pStyle w:val="Tabletext"/>
            </w:pPr>
            <w:r w:rsidRPr="00532B79">
              <w:t xml:space="preserve">High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Significantly fewer patients died from any cause with combination therapy compared with monotherapy (ARD = −5.3%; 95% CI −9.2, −1.5)</w:t>
            </w:r>
          </w:p>
        </w:tc>
      </w:tr>
      <w:tr w:rsidR="00321DBE" w:rsidRPr="009F466A" w:rsidTr="00321DBE">
        <w:tc>
          <w:tcPr>
            <w:tcW w:w="1555" w:type="dxa"/>
          </w:tcPr>
          <w:p w:rsidR="00321DBE" w:rsidRPr="00532B79" w:rsidRDefault="00321DBE" w:rsidP="00C21496">
            <w:pPr>
              <w:pStyle w:val="Tabletext"/>
            </w:pPr>
            <w:r w:rsidRPr="00532B79">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PACES-1 (sildenafil/epoprostenol) </w:t>
            </w:r>
          </w:p>
          <w:p w:rsidR="00321DBE" w:rsidRPr="00532B79" w:rsidRDefault="00321DBE" w:rsidP="00C21496">
            <w:pPr>
              <w:pStyle w:val="Tabletext"/>
            </w:pPr>
            <w:r w:rsidRPr="00532B79">
              <w:t>N=265</w:t>
            </w:r>
          </w:p>
        </w:tc>
        <w:tc>
          <w:tcPr>
            <w:tcW w:w="6095"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Fewer patients were hospitalised with combination therapy compared with monotherapy, but the 95% CI indicates that there may also be an effect in the opposite direction (RR = 0.71; 95% CI 0.30, 1.71)</w:t>
            </w:r>
          </w:p>
        </w:tc>
      </w:tr>
      <w:tr w:rsidR="00321DBE" w:rsidRPr="009F466A" w:rsidTr="00321DBE">
        <w:tc>
          <w:tcPr>
            <w:tcW w:w="1555" w:type="dxa"/>
          </w:tcPr>
          <w:p w:rsidR="00321DBE" w:rsidRPr="00532B79" w:rsidRDefault="00321DBE" w:rsidP="00C21496">
            <w:pPr>
              <w:pStyle w:val="Tabletext"/>
            </w:pPr>
            <w:r w:rsidRPr="00532B79">
              <w:t>Change in 6MWD from baseline</w:t>
            </w:r>
          </w:p>
        </w:tc>
        <w:tc>
          <w:tcPr>
            <w:tcW w:w="1984" w:type="dxa"/>
          </w:tcPr>
          <w:p w:rsidR="00321DBE" w:rsidRPr="00532B79" w:rsidRDefault="00321DBE" w:rsidP="00C21496">
            <w:pPr>
              <w:pStyle w:val="Tabletext"/>
            </w:pPr>
            <w:r w:rsidRPr="00532B79">
              <w:t xml:space="preserve">PACES-1 (sildenafil/epoprostenol) </w:t>
            </w:r>
          </w:p>
          <w:p w:rsidR="00321DBE" w:rsidRPr="00532B79" w:rsidRDefault="00321DBE" w:rsidP="00C21496">
            <w:pPr>
              <w:pStyle w:val="Tabletext"/>
            </w:pPr>
            <w:r w:rsidRPr="00532B79">
              <w:t>N=265</w:t>
            </w:r>
          </w:p>
        </w:tc>
        <w:tc>
          <w:tcPr>
            <w:tcW w:w="6095"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Patients on combination therapy had a larger mean improvement in their 6MWD than those on monotherapy, but the difference was not clinically important (MD = 28.8 m walked further; 95% CI 13.9, 43.8)</w:t>
            </w:r>
          </w:p>
        </w:tc>
      </w:tr>
      <w:tr w:rsidR="00321DBE" w:rsidRPr="009F466A" w:rsidTr="00321DBE">
        <w:tc>
          <w:tcPr>
            <w:tcW w:w="1555" w:type="dxa"/>
          </w:tcPr>
          <w:p w:rsidR="00321DBE" w:rsidRPr="00532B79" w:rsidRDefault="00321DBE" w:rsidP="00C21496">
            <w:pPr>
              <w:pStyle w:val="Tabletext"/>
            </w:pPr>
            <w:r w:rsidRPr="00532B79">
              <w:t xml:space="preserve">Change in haemodynamic parameters </w:t>
            </w:r>
            <w:r w:rsidRPr="00532B79">
              <w:lastRenderedPageBreak/>
              <w:t>from baseline:</w:t>
            </w:r>
          </w:p>
          <w:p w:rsidR="00321DBE" w:rsidRPr="00532B79" w:rsidRDefault="00321DBE" w:rsidP="00C21496">
            <w:pPr>
              <w:pStyle w:val="Tabletext"/>
            </w:pPr>
            <w:r w:rsidRPr="00532B79">
              <w:t xml:space="preserve">PVR, </w:t>
            </w:r>
            <w:proofErr w:type="spellStart"/>
            <w:r w:rsidRPr="00532B79">
              <w:t>mPAP</w:t>
            </w:r>
            <w:proofErr w:type="spellEnd"/>
            <w:r w:rsidRPr="00532B79">
              <w:t xml:space="preserve">, </w:t>
            </w:r>
            <w:proofErr w:type="spellStart"/>
            <w:r w:rsidRPr="00532B79">
              <w:t>mRAP</w:t>
            </w:r>
            <w:proofErr w:type="spellEnd"/>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lastRenderedPageBreak/>
              <w:t xml:space="preserve">PACES-1 (sildenafil/epoprostenol) </w:t>
            </w:r>
          </w:p>
          <w:p w:rsidR="00321DBE" w:rsidRPr="00532B79" w:rsidRDefault="00321DBE" w:rsidP="00C21496">
            <w:pPr>
              <w:pStyle w:val="Tabletext"/>
            </w:pPr>
            <w:r w:rsidRPr="00532B79">
              <w:lastRenderedPageBreak/>
              <w:t>N=265</w:t>
            </w:r>
          </w:p>
        </w:tc>
        <w:tc>
          <w:tcPr>
            <w:tcW w:w="6095" w:type="dxa"/>
          </w:tcPr>
          <w:p w:rsidR="00321DBE" w:rsidRPr="00532B79" w:rsidRDefault="00321DBE" w:rsidP="00C21496">
            <w:pPr>
              <w:pStyle w:val="Tabletext"/>
            </w:pPr>
            <w:r w:rsidRPr="00532B79">
              <w:lastRenderedPageBreak/>
              <w:t xml:space="preserve">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 xml:space="preserve">Patients on combination therapy had a larger mean </w:t>
            </w:r>
            <w:r w:rsidRPr="00532B79">
              <w:lastRenderedPageBreak/>
              <w:t xml:space="preserve">improvement in their haemodynamic parameters than those on monotherapy and this improvement may be clinically important PVR and </w:t>
            </w:r>
            <w:proofErr w:type="spellStart"/>
            <w:r w:rsidRPr="00532B79">
              <w:t>mRAP</w:t>
            </w:r>
            <w:proofErr w:type="spellEnd"/>
            <w:r w:rsidRPr="00532B79">
              <w:t xml:space="preserve"> (PVR MD = 20.8% improvement; </w:t>
            </w:r>
            <w:proofErr w:type="spellStart"/>
            <w:r w:rsidRPr="00532B79">
              <w:t>mPAP</w:t>
            </w:r>
            <w:proofErr w:type="spellEnd"/>
            <w:r w:rsidRPr="00532B79">
              <w:t xml:space="preserve"> MD = 7.5% improvement; </w:t>
            </w:r>
            <w:proofErr w:type="spellStart"/>
            <w:r w:rsidRPr="00532B79">
              <w:t>mRAP</w:t>
            </w:r>
            <w:proofErr w:type="spellEnd"/>
            <w:r w:rsidRPr="00532B79">
              <w:t xml:space="preserve"> MD = 2.1 mmHg improvement)</w:t>
            </w:r>
          </w:p>
        </w:tc>
      </w:tr>
    </w:tbl>
    <w:p w:rsidR="00321DBE" w:rsidRPr="00532B79" w:rsidRDefault="00321DBE" w:rsidP="00C21496">
      <w:pPr>
        <w:pStyle w:val="Tablenote"/>
        <w:jc w:val="left"/>
      </w:pPr>
      <w:r w:rsidRPr="00532B79">
        <w:lastRenderedPageBreak/>
        <w:t xml:space="preserve">6MWD = 6-minute walk distance; ARD = absolute risk difference; CI = confidence interval; GRADE = grading of recommendations assessment, development and evaluation1; MD = mean difference; </w:t>
      </w:r>
      <w:proofErr w:type="spellStart"/>
      <w:r w:rsidRPr="00532B79">
        <w:t>mPAP</w:t>
      </w:r>
      <w:proofErr w:type="spellEnd"/>
      <w:r w:rsidRPr="00532B79">
        <w:t xml:space="preserve"> = mean pulmonary artery pressure; </w:t>
      </w:r>
      <w:proofErr w:type="spellStart"/>
      <w:r w:rsidRPr="00532B79">
        <w:t>mRAP</w:t>
      </w:r>
      <w:proofErr w:type="spellEnd"/>
      <w:r w:rsidRPr="00532B79">
        <w:t xml:space="preserve"> = mean right atrial pressure; PAH = pulmonary arterial hypertension; PDE-5 = phosphodiesterase type-5; PVR = pulmonary vascular resistance; RR = relative risk</w:t>
      </w:r>
    </w:p>
    <w:p w:rsidR="0016033A" w:rsidRPr="0016033A" w:rsidRDefault="0016033A" w:rsidP="00C21496">
      <w:pPr>
        <w:pStyle w:val="Heading5"/>
        <w:keepLines w:val="0"/>
        <w:numPr>
          <w:ilvl w:val="0"/>
          <w:numId w:val="0"/>
        </w:numPr>
        <w:spacing w:before="240"/>
        <w:jc w:val="left"/>
        <w:rPr>
          <w:color w:val="auto"/>
          <w:u w:val="single"/>
        </w:rPr>
      </w:pPr>
      <w:bookmarkStart w:id="103" w:name="_Ref506198795"/>
      <w:bookmarkStart w:id="104" w:name="_Toc508396845"/>
      <w:r w:rsidRPr="0016033A">
        <w:rPr>
          <w:color w:val="auto"/>
          <w:u w:val="single"/>
        </w:rPr>
        <w:t>Safety</w:t>
      </w:r>
    </w:p>
    <w:p w:rsidR="0016033A" w:rsidRDefault="0016033A" w:rsidP="00C21496">
      <w:pPr>
        <w:jc w:val="left"/>
      </w:pPr>
      <w:r w:rsidRPr="004A7427">
        <w:t xml:space="preserve">One RCT reported on the effectiveness of a PDE-5 inhibitor in addition to </w:t>
      </w:r>
      <w:r w:rsidRPr="0017012F">
        <w:t>prostanoid</w:t>
      </w:r>
      <w:r w:rsidRPr="004A7427">
        <w:t xml:space="preserve"> </w:t>
      </w:r>
      <w:r>
        <w:t xml:space="preserve">therapy </w:t>
      </w:r>
      <w:r w:rsidRPr="004A7427">
        <w:t xml:space="preserve">in treating PAH compared with placebo plus a </w:t>
      </w:r>
      <w:r w:rsidRPr="0017012F">
        <w:t>prostanoid</w:t>
      </w:r>
      <w:r w:rsidRPr="004A7427">
        <w:t>:</w:t>
      </w:r>
    </w:p>
    <w:p w:rsidR="0016033A" w:rsidRPr="00B96C6F" w:rsidRDefault="0016033A" w:rsidP="00C21496">
      <w:pPr>
        <w:pStyle w:val="Bullettext"/>
        <w:ind w:left="720"/>
      </w:pPr>
      <w:r>
        <w:t>PACES-1</w:t>
      </w:r>
    </w:p>
    <w:p w:rsidR="0016033A" w:rsidRPr="00B96C6F" w:rsidRDefault="0016033A" w:rsidP="00C21496">
      <w:pPr>
        <w:pStyle w:val="Bullettext"/>
        <w:ind w:left="720"/>
      </w:pPr>
      <w:r w:rsidRPr="00B96C6F">
        <w:t xml:space="preserve">There were no new </w:t>
      </w:r>
      <w:r>
        <w:t>safety signals identified.</w:t>
      </w:r>
    </w:p>
    <w:p w:rsidR="0016033A" w:rsidRDefault="0016033A" w:rsidP="00C21496">
      <w:pPr>
        <w:jc w:val="left"/>
      </w:pPr>
      <w:r>
        <w:t xml:space="preserve">The evidence provided by this trial is summarised in </w:t>
      </w:r>
      <w:r w:rsidR="00CC79E1">
        <w:t>Table ES.</w:t>
      </w:r>
      <w:r w:rsidR="00CC79E1">
        <w:rPr>
          <w:noProof/>
        </w:rPr>
        <w:t>16</w:t>
      </w:r>
      <w:r>
        <w:t>.</w:t>
      </w:r>
    </w:p>
    <w:p w:rsidR="0016033A" w:rsidRDefault="0016033A" w:rsidP="00C21496">
      <w:pPr>
        <w:jc w:val="left"/>
      </w:pPr>
      <w:r>
        <w:t xml:space="preserve">Overall, </w:t>
      </w:r>
      <w:r w:rsidRPr="001E5DED">
        <w:t xml:space="preserve">the use of a PDE-5 inhibitor in addition to </w:t>
      </w:r>
      <w:r>
        <w:t>a prostanoid</w:t>
      </w:r>
      <w:r w:rsidRPr="001E5DED">
        <w:t xml:space="preserve"> </w:t>
      </w:r>
      <w:r>
        <w:t>is likely to be non-inferior to</w:t>
      </w:r>
      <w:r w:rsidRPr="001E5DED">
        <w:t xml:space="preserve"> </w:t>
      </w:r>
      <w:r>
        <w:t>prostanoid</w:t>
      </w:r>
      <w:r w:rsidRPr="001E5DED">
        <w:t xml:space="preserve"> monotherapy </w:t>
      </w:r>
      <w:r>
        <w:t xml:space="preserve">in terms of safety </w:t>
      </w:r>
      <w:r w:rsidRPr="001E5DED">
        <w:t xml:space="preserve">when treating </w:t>
      </w:r>
      <w:r>
        <w:t xml:space="preserve">PAH </w:t>
      </w:r>
      <w:r w:rsidRPr="001E5DED">
        <w:t>patients</w:t>
      </w:r>
      <w:r>
        <w:t>.</w:t>
      </w:r>
    </w:p>
    <w:p w:rsidR="008B580D" w:rsidRPr="0016033A" w:rsidRDefault="008B580D" w:rsidP="00C21496">
      <w:pPr>
        <w:pStyle w:val="Caption"/>
        <w:jc w:val="left"/>
        <w:rPr>
          <w:szCs w:val="24"/>
        </w:rPr>
      </w:pPr>
      <w:bookmarkStart w:id="105" w:name="_Ref511118851"/>
      <w:bookmarkStart w:id="106" w:name="_Toc513108460"/>
      <w:bookmarkEnd w:id="103"/>
      <w:bookmarkEnd w:id="104"/>
      <w:r>
        <w:t>Table ES.</w:t>
      </w:r>
      <w:r w:rsidR="00CC79E1">
        <w:rPr>
          <w:noProof/>
        </w:rPr>
        <w:t>16</w:t>
      </w:r>
      <w:bookmarkEnd w:id="105"/>
      <w:r>
        <w:tab/>
      </w:r>
      <w:r w:rsidRPr="0016033A">
        <w:rPr>
          <w:szCs w:val="24"/>
        </w:rPr>
        <w:t>Summary of the evidence for the safety of a PDE-5 inhibitor in addition to a prostanoid, relative to prostanoid monotherapy</w:t>
      </w:r>
      <w:bookmarkEnd w:id="106"/>
    </w:p>
    <w:tbl>
      <w:tblPr>
        <w:tblStyle w:val="TableGrid"/>
        <w:tblW w:w="9634" w:type="dxa"/>
        <w:tblLook w:val="04A0" w:firstRow="1" w:lastRow="0" w:firstColumn="1" w:lastColumn="0" w:noHBand="0" w:noVBand="1"/>
        <w:tblCaption w:val="Summary of the evidence for the safety of a PDE-5 inhibitor in addition to a prostanoid, relative to prostanoid monotherapy"/>
      </w:tblPr>
      <w:tblGrid>
        <w:gridCol w:w="1555"/>
        <w:gridCol w:w="2340"/>
        <w:gridCol w:w="5739"/>
      </w:tblGrid>
      <w:tr w:rsidR="00321DBE" w:rsidRPr="009F466A"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Outcome</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 xml:space="preserve">Included trials </w:t>
            </w:r>
          </w:p>
        </w:tc>
        <w:tc>
          <w:tcPr>
            <w:tcW w:w="5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1left"/>
            </w:pPr>
            <w:r w:rsidRPr="009F466A">
              <w:t>All PAH patients</w:t>
            </w:r>
          </w:p>
        </w:tc>
      </w:tr>
      <w:tr w:rsidR="00321DBE" w:rsidRPr="009F466A" w:rsidTr="008B580D">
        <w:tc>
          <w:tcPr>
            <w:tcW w:w="1555"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Any AE</w:t>
            </w:r>
          </w:p>
        </w:tc>
        <w:tc>
          <w:tcPr>
            <w:tcW w:w="2340"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 xml:space="preserve">PACES-1 (sildenafil/epoprostenol) </w:t>
            </w:r>
          </w:p>
          <w:p w:rsidR="00321DBE" w:rsidRPr="009F466A" w:rsidRDefault="00321DBE" w:rsidP="00C21496">
            <w:pPr>
              <w:pStyle w:val="TableText1left"/>
            </w:pPr>
            <w:r w:rsidRPr="009F466A">
              <w:t>N=265</w:t>
            </w:r>
          </w:p>
        </w:tc>
        <w:tc>
          <w:tcPr>
            <w:tcW w:w="5739"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1left"/>
            </w:pPr>
            <w:r w:rsidRPr="009F466A">
              <w:t>The proportion of patients who had any AE was similar for both the combination therapy and monotherapy arms (RR = 0.95; 95% CI 0.90, 1.00)</w:t>
            </w:r>
          </w:p>
        </w:tc>
      </w:tr>
      <w:tr w:rsidR="00321DBE" w:rsidRPr="009F466A" w:rsidTr="008B580D">
        <w:tc>
          <w:tcPr>
            <w:tcW w:w="1555" w:type="dxa"/>
          </w:tcPr>
          <w:p w:rsidR="00321DBE" w:rsidRPr="009F466A" w:rsidRDefault="00321DBE" w:rsidP="00C21496">
            <w:pPr>
              <w:pStyle w:val="TableText1left"/>
            </w:pPr>
            <w:r w:rsidRPr="009F466A">
              <w:t>Serious AEs</w:t>
            </w:r>
          </w:p>
        </w:tc>
        <w:tc>
          <w:tcPr>
            <w:tcW w:w="2340"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 xml:space="preserve">PACES-1 (sildenafil/epoprostenol) </w:t>
            </w:r>
          </w:p>
          <w:p w:rsidR="00321DBE" w:rsidRPr="009F466A" w:rsidRDefault="00321DBE" w:rsidP="00C21496">
            <w:pPr>
              <w:pStyle w:val="TableText1left"/>
            </w:pPr>
            <w:r w:rsidRPr="009F466A">
              <w:t>N=265</w:t>
            </w:r>
          </w:p>
        </w:tc>
        <w:tc>
          <w:tcPr>
            <w:tcW w:w="5739" w:type="dxa"/>
          </w:tcPr>
          <w:p w:rsidR="00321DBE" w:rsidRPr="009F466A" w:rsidRDefault="00321DBE" w:rsidP="00C21496">
            <w:pPr>
              <w:pStyle w:val="TableText1left"/>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1left"/>
            </w:pPr>
            <w:r w:rsidRPr="009F466A">
              <w:t>Fewer patients had a serious AE with combination therapy compared with monotherapy, but the 95% CI indicates that there could also be an effect in the opposite direction (RR = 0.73; 95% CI 0.48, 1.10)</w:t>
            </w:r>
          </w:p>
        </w:tc>
      </w:tr>
      <w:tr w:rsidR="00321DBE" w:rsidRPr="009F466A" w:rsidTr="008B580D">
        <w:tc>
          <w:tcPr>
            <w:tcW w:w="1555" w:type="dxa"/>
          </w:tcPr>
          <w:p w:rsidR="00321DBE" w:rsidRPr="009F466A" w:rsidRDefault="00321DBE" w:rsidP="00C21496">
            <w:pPr>
              <w:pStyle w:val="TableText1left"/>
            </w:pPr>
            <w:r w:rsidRPr="009F466A">
              <w:t>AEs leading to treatment discontinuation</w:t>
            </w:r>
          </w:p>
        </w:tc>
        <w:tc>
          <w:tcPr>
            <w:tcW w:w="2340"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 xml:space="preserve">PACES-1 (sildenafil/epoprostenol) </w:t>
            </w:r>
          </w:p>
          <w:p w:rsidR="00321DBE" w:rsidRPr="009F466A" w:rsidRDefault="00321DBE" w:rsidP="00C21496">
            <w:pPr>
              <w:pStyle w:val="TableText1left"/>
            </w:pPr>
            <w:r w:rsidRPr="009F466A">
              <w:t>N=265</w:t>
            </w:r>
          </w:p>
        </w:tc>
        <w:tc>
          <w:tcPr>
            <w:tcW w:w="5739"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High quality</w:t>
            </w:r>
            <w:r w:rsidRPr="009F466A">
              <w:rPr>
                <w:rFonts w:cs="Cambria Math"/>
              </w:rPr>
              <w:t xml:space="preserve"> evidence (GRADE </w:t>
            </w:r>
            <w:r w:rsidRPr="009F466A">
              <w:rPr>
                <w:rFonts w:ascii="Cambria Math" w:hAnsi="Cambria Math" w:cs="Cambria Math"/>
                <w:color w:val="00B050"/>
              </w:rPr>
              <w:t>⨁⨁⨁⨁</w:t>
            </w:r>
            <w:r w:rsidRPr="009F466A">
              <w:t>)</w:t>
            </w:r>
          </w:p>
          <w:p w:rsidR="00321DBE" w:rsidRPr="009F466A" w:rsidRDefault="00321DBE" w:rsidP="00C21496">
            <w:pPr>
              <w:pStyle w:val="TableText1left"/>
            </w:pPr>
            <w:r w:rsidRPr="009F466A">
              <w:t>Fewer patients had an AE leading to treatment discontinuation with combination therapy compared with monotherapy, but the 95% CI indicates that there could also be an effect in the opposite direction (RR = 0.49; 95% CI 0.20, 1.17)</w:t>
            </w:r>
          </w:p>
        </w:tc>
      </w:tr>
    </w:tbl>
    <w:p w:rsidR="00321DBE" w:rsidRPr="00532B79" w:rsidRDefault="00321DBE" w:rsidP="00C21496">
      <w:pPr>
        <w:pStyle w:val="Tablenote"/>
        <w:jc w:val="left"/>
      </w:pPr>
      <w:r w:rsidRPr="00532B79">
        <w:t>AE = adverse event; CI = confidence interval; FC = functional class; GRADE = grading of recommendations assessment, development and evaluation1; PAH = pulmonary arterial hypertension; PDE-5 = phosphodiesterase type-5; RR = relative risk; WHO = World Health Organization</w:t>
      </w:r>
    </w:p>
    <w:p w:rsidR="00321DBE" w:rsidRPr="009F466A" w:rsidRDefault="00321DBE" w:rsidP="00C21496">
      <w:pPr>
        <w:pStyle w:val="Heading4"/>
      </w:pPr>
      <w:r w:rsidRPr="009F466A">
        <w:t>Prostanoid in addition to an ERA</w:t>
      </w:r>
    </w:p>
    <w:p w:rsidR="0016033A" w:rsidRPr="0016033A" w:rsidRDefault="0016033A" w:rsidP="00C21496">
      <w:pPr>
        <w:pStyle w:val="Heading5"/>
        <w:keepLines w:val="0"/>
        <w:numPr>
          <w:ilvl w:val="0"/>
          <w:numId w:val="0"/>
        </w:numPr>
        <w:spacing w:before="240"/>
        <w:jc w:val="left"/>
        <w:rPr>
          <w:color w:val="auto"/>
          <w:u w:val="single"/>
        </w:rPr>
      </w:pPr>
      <w:bookmarkStart w:id="107" w:name="_Ref506203144"/>
      <w:bookmarkStart w:id="108" w:name="_Toc508396846"/>
      <w:r w:rsidRPr="0016033A">
        <w:rPr>
          <w:color w:val="auto"/>
          <w:u w:val="single"/>
        </w:rPr>
        <w:t>Clinical effectiveness</w:t>
      </w:r>
    </w:p>
    <w:p w:rsidR="0016033A" w:rsidRPr="00C77B6A" w:rsidRDefault="0016033A" w:rsidP="00C21496">
      <w:pPr>
        <w:spacing w:after="40"/>
        <w:jc w:val="left"/>
      </w:pPr>
      <w:r w:rsidRPr="00C77B6A">
        <w:t xml:space="preserve">Two RCTs reported on the effectiveness of </w:t>
      </w:r>
      <w:r>
        <w:t xml:space="preserve">a </w:t>
      </w:r>
      <w:r w:rsidRPr="0017012F">
        <w:t xml:space="preserve">prostanoid </w:t>
      </w:r>
      <w:r w:rsidRPr="00C77B6A">
        <w:t xml:space="preserve">in addition to an ERA in treating PAH compared with </w:t>
      </w:r>
      <w:r>
        <w:t xml:space="preserve">a </w:t>
      </w:r>
      <w:r w:rsidRPr="00C77B6A">
        <w:t>place</w:t>
      </w:r>
      <w:r>
        <w:t>bo plus an ERA:</w:t>
      </w:r>
    </w:p>
    <w:p w:rsidR="0016033A" w:rsidRPr="00D103A9" w:rsidRDefault="0016033A" w:rsidP="00C21496">
      <w:pPr>
        <w:pStyle w:val="Bullettext"/>
        <w:ind w:left="720"/>
        <w:rPr>
          <w:bCs/>
        </w:rPr>
      </w:pPr>
      <w:r>
        <w:lastRenderedPageBreak/>
        <w:t>COMBI</w:t>
      </w:r>
      <w:r w:rsidRPr="00C77B6A">
        <w:t xml:space="preserve"> enrolled </w:t>
      </w:r>
      <w:r w:rsidRPr="00673C2E">
        <w:t xml:space="preserve">patients with WHO FC III IPAH </w:t>
      </w:r>
      <w:r>
        <w:t>(</w:t>
      </w:r>
      <w:r w:rsidRPr="00673C2E">
        <w:t>who were already being treated with bosentan</w:t>
      </w:r>
      <w:r>
        <w:t xml:space="preserve">) to receive combination therapy with the addition of </w:t>
      </w:r>
      <w:r w:rsidRPr="00673C2E">
        <w:t xml:space="preserve">iloprost </w:t>
      </w:r>
      <w:r>
        <w:t>or continue bosentan monotherapy</w:t>
      </w:r>
    </w:p>
    <w:p w:rsidR="0016033A" w:rsidRPr="00D103A9" w:rsidRDefault="0016033A" w:rsidP="00C21496">
      <w:pPr>
        <w:pStyle w:val="Bullettext"/>
        <w:ind w:left="720"/>
        <w:rPr>
          <w:bCs/>
        </w:rPr>
      </w:pPr>
      <w:r>
        <w:t>STEP enrolled</w:t>
      </w:r>
      <w:r w:rsidRPr="00C77B6A">
        <w:t xml:space="preserve"> </w:t>
      </w:r>
      <w:r>
        <w:t xml:space="preserve">patients with PAH </w:t>
      </w:r>
      <w:r w:rsidRPr="00D13D2A">
        <w:t>who were already being treated with bosentan to receive combination therapy with the addition of iloprost or continue bosentan monotherapy</w:t>
      </w:r>
    </w:p>
    <w:p w:rsidR="0016033A" w:rsidRPr="00D103A9" w:rsidRDefault="0016033A" w:rsidP="00C21496">
      <w:pPr>
        <w:pStyle w:val="Bullettext"/>
        <w:numPr>
          <w:ilvl w:val="1"/>
          <w:numId w:val="7"/>
        </w:numPr>
        <w:ind w:left="1134"/>
        <w:rPr>
          <w:bCs/>
        </w:rPr>
      </w:pPr>
      <w:r w:rsidRPr="00D13D2A">
        <w:t xml:space="preserve">Nearly all included patients had </w:t>
      </w:r>
      <w:r>
        <w:t>WHO</w:t>
      </w:r>
      <w:r w:rsidRPr="00D13D2A">
        <w:t xml:space="preserve"> FC III/IV PAH; one patient randomised to monotherapy had </w:t>
      </w:r>
      <w:r>
        <w:t>WHO</w:t>
      </w:r>
      <w:r w:rsidRPr="00D13D2A">
        <w:t xml:space="preserve"> FC II PAH</w:t>
      </w:r>
    </w:p>
    <w:p w:rsidR="0016033A" w:rsidRDefault="0016033A" w:rsidP="00C21496">
      <w:pPr>
        <w:jc w:val="left"/>
      </w:pPr>
      <w:r>
        <w:t xml:space="preserve">The evidence provided by these trials for patients </w:t>
      </w:r>
      <w:r w:rsidRPr="00C77B6A">
        <w:t xml:space="preserve">with WHO FC III/IV PAH </w:t>
      </w:r>
      <w:r>
        <w:t xml:space="preserve">is summarised in </w:t>
      </w:r>
      <w:r w:rsidR="00CC79E1">
        <w:t>Table ES.</w:t>
      </w:r>
      <w:r w:rsidR="00CC79E1">
        <w:rPr>
          <w:noProof/>
        </w:rPr>
        <w:t>17</w:t>
      </w:r>
      <w:r>
        <w:t>.</w:t>
      </w:r>
    </w:p>
    <w:p w:rsidR="0016033A" w:rsidRDefault="0016033A" w:rsidP="00C21496">
      <w:pPr>
        <w:jc w:val="left"/>
      </w:pPr>
      <w:r>
        <w:t xml:space="preserve">Overall, </w:t>
      </w:r>
      <w:r w:rsidRPr="008B5A87">
        <w:t xml:space="preserve">there is </w:t>
      </w:r>
      <w:r>
        <w:t xml:space="preserve">limited </w:t>
      </w:r>
      <w:r w:rsidRPr="008B5A87">
        <w:t xml:space="preserve">evidence to suggest that </w:t>
      </w:r>
      <w:r w:rsidRPr="000522D6">
        <w:t xml:space="preserve">the </w:t>
      </w:r>
      <w:r w:rsidRPr="006316DF">
        <w:t xml:space="preserve">use of a </w:t>
      </w:r>
      <w:r w:rsidRPr="00FF0F23">
        <w:t>prostanoid in addition to an ERA</w:t>
      </w:r>
      <w:r w:rsidRPr="000522D6">
        <w:t xml:space="preserve">, relative to </w:t>
      </w:r>
      <w:r>
        <w:t>ERA</w:t>
      </w:r>
      <w:r w:rsidRPr="000522D6">
        <w:t xml:space="preserve"> monotherapy</w:t>
      </w:r>
      <w:r>
        <w:t>,</w:t>
      </w:r>
      <w:r w:rsidRPr="000522D6">
        <w:t xml:space="preserve"> </w:t>
      </w:r>
      <w:r w:rsidRPr="006316DF">
        <w:t xml:space="preserve">to treat </w:t>
      </w:r>
      <w:r>
        <w:t>patients with WHO FC III/IV PAH may</w:t>
      </w:r>
      <w:r w:rsidRPr="006316DF">
        <w:t xml:space="preserve"> be beneficial</w:t>
      </w:r>
      <w:r>
        <w:t>.</w:t>
      </w:r>
      <w:r w:rsidRPr="009A57D8">
        <w:t xml:space="preserve"> </w:t>
      </w:r>
      <w:r w:rsidRPr="00E60652">
        <w:t>This finding would be stronger if it were replicated in additional research.</w:t>
      </w:r>
    </w:p>
    <w:p w:rsidR="008B580D" w:rsidRPr="009F466A" w:rsidRDefault="008B580D" w:rsidP="00C21496">
      <w:pPr>
        <w:pStyle w:val="Caption"/>
        <w:jc w:val="left"/>
      </w:pPr>
      <w:bookmarkStart w:id="109" w:name="_Ref511118864"/>
      <w:bookmarkStart w:id="110" w:name="_Toc513108461"/>
      <w:bookmarkEnd w:id="107"/>
      <w:bookmarkEnd w:id="108"/>
      <w:r>
        <w:t>Table ES.</w:t>
      </w:r>
      <w:r w:rsidR="00CC79E1">
        <w:rPr>
          <w:noProof/>
        </w:rPr>
        <w:t>17</w:t>
      </w:r>
      <w:bookmarkEnd w:id="109"/>
      <w:r>
        <w:tab/>
      </w:r>
      <w:r w:rsidRPr="009F466A">
        <w:t>Summary of the evidence for the clinical effectiveness of a prostanoid in addition to an ERA, relative to ERA monotherapy</w:t>
      </w:r>
      <w:bookmarkEnd w:id="110"/>
    </w:p>
    <w:tbl>
      <w:tblPr>
        <w:tblStyle w:val="TableGrid"/>
        <w:tblW w:w="9634" w:type="dxa"/>
        <w:tblLook w:val="04A0" w:firstRow="1" w:lastRow="0" w:firstColumn="1" w:lastColumn="0" w:noHBand="0" w:noVBand="1"/>
        <w:tblCaption w:val="Summary of the evidence for the clinical effectiveness of a prostanoid in addition to an ERA, relative to ERA monotherapy"/>
      </w:tblPr>
      <w:tblGrid>
        <w:gridCol w:w="1573"/>
        <w:gridCol w:w="1984"/>
        <w:gridCol w:w="6077"/>
      </w:tblGrid>
      <w:tr w:rsidR="00321DBE" w:rsidRPr="009F466A" w:rsidTr="008979BD">
        <w:trPr>
          <w:tblHead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 xml:space="preserve">Included trials </w:t>
            </w:r>
          </w:p>
          <w:p w:rsidR="00321DBE" w:rsidRPr="00A4053B" w:rsidRDefault="00321DBE" w:rsidP="00C21496">
            <w:pPr>
              <w:pStyle w:val="TableText1left"/>
              <w:rPr>
                <w:b/>
              </w:rPr>
            </w:pPr>
            <w:r w:rsidRPr="00A4053B">
              <w:rPr>
                <w:b/>
              </w:rPr>
              <w:t>No. of patients</w:t>
            </w:r>
          </w:p>
        </w:tc>
        <w:tc>
          <w:tcPr>
            <w:tcW w:w="6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1left"/>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9F466A" w:rsidRDefault="00321DBE" w:rsidP="00C21496">
            <w:pPr>
              <w:pStyle w:val="TableText1left"/>
            </w:pPr>
            <w:r w:rsidRPr="009F466A">
              <w:t>Patients with WHO FC III/IV PAH</w:t>
            </w:r>
          </w:p>
        </w:tc>
      </w:tr>
      <w:tr w:rsidR="00321DBE" w:rsidRPr="009F466A" w:rsidTr="008B580D">
        <w:tc>
          <w:tcPr>
            <w:tcW w:w="1573" w:type="dxa"/>
          </w:tcPr>
          <w:p w:rsidR="00321DBE" w:rsidRPr="009F466A" w:rsidRDefault="00321DBE" w:rsidP="00C21496">
            <w:pPr>
              <w:pStyle w:val="TableText1left"/>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COMBI</w:t>
            </w:r>
            <w:r w:rsidRPr="009F466A">
              <w:br/>
              <w:t>(iloprost/bosentan)</w:t>
            </w:r>
          </w:p>
          <w:p w:rsidR="00321DBE" w:rsidRPr="009F466A" w:rsidRDefault="00321DBE" w:rsidP="00C21496">
            <w:pPr>
              <w:pStyle w:val="TableText1left"/>
            </w:pPr>
            <w:r w:rsidRPr="009F466A">
              <w:t>STEP</w:t>
            </w:r>
            <w:r w:rsidRPr="009F466A">
              <w:br/>
              <w:t>(iloprost/bosentan)</w:t>
            </w:r>
          </w:p>
          <w:p w:rsidR="00321DBE" w:rsidRPr="009F466A" w:rsidRDefault="00321DBE" w:rsidP="00C21496">
            <w:pPr>
              <w:pStyle w:val="TableText1left"/>
            </w:pPr>
            <w:r w:rsidRPr="009F466A">
              <w:t>N=105</w:t>
            </w:r>
          </w:p>
        </w:tc>
        <w:tc>
          <w:tcPr>
            <w:tcW w:w="6077" w:type="dxa"/>
          </w:tcPr>
          <w:p w:rsidR="00321DBE" w:rsidRPr="009F466A" w:rsidRDefault="00321DBE" w:rsidP="00C21496">
            <w:pPr>
              <w:pStyle w:val="TableText1left"/>
            </w:pPr>
            <w:r w:rsidRPr="009F466A">
              <w:t>Very low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hAnsi="Cambria Math" w:cs="Cambria Math"/>
                <w:bCs/>
                <w:color w:val="FF0000"/>
              </w:rPr>
              <w:t>⨀</w:t>
            </w:r>
            <w:r w:rsidRPr="009F466A">
              <w:rPr>
                <w:rFonts w:ascii="Cambria Math" w:hAnsi="Cambria Math" w:cs="Cambria Math"/>
                <w:color w:val="C00000"/>
              </w:rPr>
              <w:t>⨀⨀</w:t>
            </w:r>
            <w:r w:rsidRPr="009F466A">
              <w:t>)</w:t>
            </w:r>
          </w:p>
          <w:p w:rsidR="00321DBE" w:rsidRPr="009F466A" w:rsidRDefault="00321DBE" w:rsidP="00C21496">
            <w:pPr>
              <w:pStyle w:val="TableText1left"/>
            </w:pPr>
            <w:r w:rsidRPr="009F466A">
              <w:t>Fewer patients experienced clinical worsening with combination therapy compared with monotherapy, but the 95% CI indicates that there could also be an effect in the opposite direction (RR = 0.39; 95% CI 0.04, 3.45)</w:t>
            </w:r>
          </w:p>
        </w:tc>
      </w:tr>
      <w:tr w:rsidR="00321DBE" w:rsidRPr="009F466A" w:rsidTr="008B580D">
        <w:tc>
          <w:tcPr>
            <w:tcW w:w="1573" w:type="dxa"/>
          </w:tcPr>
          <w:p w:rsidR="00321DBE" w:rsidRPr="009F466A" w:rsidRDefault="00321DBE" w:rsidP="00C21496">
            <w:pPr>
              <w:pStyle w:val="TableText1left"/>
            </w:pPr>
            <w:r w:rsidRPr="009F466A">
              <w:t>All-cause mortality</w:t>
            </w:r>
          </w:p>
        </w:tc>
        <w:tc>
          <w:tcPr>
            <w:tcW w:w="1984" w:type="dxa"/>
          </w:tcPr>
          <w:p w:rsidR="00321DBE" w:rsidRPr="009F466A" w:rsidRDefault="00321DBE" w:rsidP="00C21496">
            <w:pPr>
              <w:pStyle w:val="TableText1left"/>
            </w:pPr>
            <w:r w:rsidRPr="009F466A">
              <w:t>COMBI</w:t>
            </w:r>
            <w:r w:rsidRPr="009F466A">
              <w:br/>
              <w:t>(iloprost/bosentan)</w:t>
            </w:r>
          </w:p>
          <w:p w:rsidR="00321DBE" w:rsidRPr="009F466A" w:rsidRDefault="00321DBE" w:rsidP="00C21496">
            <w:pPr>
              <w:pStyle w:val="TableText1left"/>
            </w:pPr>
            <w:r w:rsidRPr="009F466A">
              <w:t>STEP</w:t>
            </w:r>
            <w:r w:rsidRPr="009F466A">
              <w:br/>
              <w:t>(iloprost/bosentan)</w:t>
            </w:r>
          </w:p>
          <w:p w:rsidR="00321DBE" w:rsidRPr="009F466A" w:rsidRDefault="00321DBE" w:rsidP="00C21496">
            <w:pPr>
              <w:pStyle w:val="TableText1left"/>
            </w:pPr>
            <w:r w:rsidRPr="009F466A">
              <w:t>N=105</w:t>
            </w:r>
          </w:p>
        </w:tc>
        <w:tc>
          <w:tcPr>
            <w:tcW w:w="6077" w:type="dxa"/>
          </w:tcPr>
          <w:p w:rsidR="00321DBE" w:rsidRPr="009F466A" w:rsidRDefault="00321DBE" w:rsidP="00C21496">
            <w:pPr>
              <w:pStyle w:val="TableText1left"/>
            </w:pPr>
            <w:r w:rsidRPr="009F466A">
              <w:t xml:space="preserve">Moderate quality evidence (GRADE </w:t>
            </w:r>
            <w:r w:rsidRPr="009F466A">
              <w:rPr>
                <w:rFonts w:ascii="Cambria Math" w:hAnsi="Cambria Math" w:cs="Cambria Math"/>
                <w:color w:val="00B050"/>
              </w:rPr>
              <w:t>⨁⨁⨁</w:t>
            </w:r>
            <w:r w:rsidRPr="009F466A">
              <w:rPr>
                <w:rFonts w:ascii="Cambria Math" w:hAnsi="Cambria Math" w:cs="Cambria Math"/>
                <w:color w:val="FF0000"/>
              </w:rPr>
              <w:t>⨀</w:t>
            </w:r>
            <w:r w:rsidRPr="009F466A">
              <w:t>)</w:t>
            </w:r>
          </w:p>
          <w:p w:rsidR="00321DBE" w:rsidRPr="009F466A" w:rsidRDefault="00321DBE" w:rsidP="00C21496">
            <w:pPr>
              <w:pStyle w:val="TableText1left"/>
            </w:pPr>
            <w:r w:rsidRPr="009F466A">
              <w:t>There were no deaths during the study period</w:t>
            </w:r>
          </w:p>
        </w:tc>
      </w:tr>
      <w:tr w:rsidR="00321DBE" w:rsidRPr="009F466A" w:rsidTr="008B580D">
        <w:tc>
          <w:tcPr>
            <w:tcW w:w="1573" w:type="dxa"/>
          </w:tcPr>
          <w:p w:rsidR="00321DBE" w:rsidRPr="009F466A" w:rsidRDefault="00321DBE" w:rsidP="00C21496">
            <w:pPr>
              <w:pStyle w:val="TableText1left"/>
            </w:pPr>
            <w:r w:rsidRPr="009F466A">
              <w:t>Hospitalisation due to worsening PAH</w:t>
            </w:r>
          </w:p>
        </w:tc>
        <w:tc>
          <w:tcPr>
            <w:tcW w:w="1984" w:type="dxa"/>
          </w:tcPr>
          <w:p w:rsidR="00321DBE" w:rsidRPr="009F466A" w:rsidRDefault="00321DBE" w:rsidP="00C21496">
            <w:pPr>
              <w:pStyle w:val="TableText1left"/>
            </w:pPr>
            <w:r w:rsidRPr="009F466A">
              <w:t>COMBI</w:t>
            </w:r>
            <w:r w:rsidRPr="009F466A">
              <w:br/>
              <w:t>(iloprost/bosentan)</w:t>
            </w:r>
          </w:p>
          <w:p w:rsidR="00321DBE" w:rsidRPr="009F466A" w:rsidRDefault="00321DBE" w:rsidP="00C21496">
            <w:pPr>
              <w:pStyle w:val="TableText1left"/>
            </w:pPr>
            <w:r w:rsidRPr="009F466A">
              <w:t>STEP</w:t>
            </w:r>
            <w:r w:rsidRPr="009F466A">
              <w:br/>
              <w:t xml:space="preserve">(iloprost/bosentan) </w:t>
            </w:r>
          </w:p>
          <w:p w:rsidR="00321DBE" w:rsidRPr="009F466A" w:rsidRDefault="00321DBE" w:rsidP="00C21496">
            <w:pPr>
              <w:pStyle w:val="TableText1left"/>
            </w:pPr>
            <w:r w:rsidRPr="009F466A">
              <w:t>N=105</w:t>
            </w:r>
          </w:p>
        </w:tc>
        <w:tc>
          <w:tcPr>
            <w:tcW w:w="6077" w:type="dxa"/>
          </w:tcPr>
          <w:p w:rsidR="00321DBE" w:rsidRPr="009F466A" w:rsidRDefault="00321DBE" w:rsidP="00C21496">
            <w:pPr>
              <w:pStyle w:val="TableText1left"/>
            </w:pPr>
            <w:r w:rsidRPr="009F466A">
              <w:t xml:space="preserve">Moderate quality evidence (GRADE </w:t>
            </w:r>
            <w:r w:rsidRPr="009F466A">
              <w:rPr>
                <w:rFonts w:ascii="Cambria Math" w:hAnsi="Cambria Math" w:cs="Cambria Math"/>
                <w:color w:val="00B050"/>
              </w:rPr>
              <w:t>⨁⨁⨁</w:t>
            </w:r>
            <w:r w:rsidRPr="009F466A">
              <w:rPr>
                <w:rFonts w:ascii="Cambria Math" w:hAnsi="Cambria Math" w:cs="Cambria Math"/>
                <w:color w:val="FF0000"/>
              </w:rPr>
              <w:t>⨀</w:t>
            </w:r>
            <w:r w:rsidRPr="009F466A">
              <w:t>)</w:t>
            </w:r>
          </w:p>
          <w:p w:rsidR="00321DBE" w:rsidRPr="009F466A" w:rsidRDefault="00321DBE" w:rsidP="00C21496">
            <w:pPr>
              <w:pStyle w:val="TableText1left"/>
            </w:pPr>
            <w:r w:rsidRPr="009F466A">
              <w:t>Fewer patients were hospitalised with combination therapy compared with monotherapy, but the 95% CI indicates that there may also be an effect in the opposite direction (pooled ARD = −5.5%; 95% CI −18.9, 7.8)</w:t>
            </w:r>
          </w:p>
        </w:tc>
      </w:tr>
      <w:tr w:rsidR="00321DBE" w:rsidRPr="009F466A" w:rsidTr="008B580D">
        <w:tc>
          <w:tcPr>
            <w:tcW w:w="1573" w:type="dxa"/>
          </w:tcPr>
          <w:p w:rsidR="00321DBE" w:rsidRPr="009F466A" w:rsidRDefault="00321DBE" w:rsidP="00C21496">
            <w:pPr>
              <w:pStyle w:val="TableText1left"/>
            </w:pPr>
            <w:r w:rsidRPr="009F466A">
              <w:t>Improved WHO FC</w:t>
            </w:r>
          </w:p>
        </w:tc>
        <w:tc>
          <w:tcPr>
            <w:tcW w:w="1984" w:type="dxa"/>
          </w:tcPr>
          <w:p w:rsidR="00321DBE" w:rsidRPr="009F466A" w:rsidRDefault="00321DBE" w:rsidP="00C21496">
            <w:pPr>
              <w:pStyle w:val="TableText1left"/>
            </w:pPr>
            <w:r w:rsidRPr="009F466A">
              <w:t>STEP</w:t>
            </w:r>
            <w:r w:rsidRPr="009F466A">
              <w:br/>
              <w:t>(iloprost/bosentan)</w:t>
            </w:r>
          </w:p>
          <w:p w:rsidR="00321DBE" w:rsidRPr="009F466A" w:rsidRDefault="00321DBE" w:rsidP="00C21496">
            <w:pPr>
              <w:pStyle w:val="TableText1left"/>
            </w:pPr>
            <w:r w:rsidRPr="009F466A">
              <w:t>N=65</w:t>
            </w:r>
          </w:p>
        </w:tc>
        <w:tc>
          <w:tcPr>
            <w:tcW w:w="6077" w:type="dxa"/>
          </w:tcPr>
          <w:p w:rsidR="00321DBE" w:rsidRPr="009F466A" w:rsidRDefault="00321DBE" w:rsidP="00C21496">
            <w:pPr>
              <w:pStyle w:val="TableText1left"/>
            </w:pPr>
            <w:r w:rsidRPr="009F466A">
              <w:t>Low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rPr>
                <w:rFonts w:ascii="Cambria Math" w:hAnsi="Cambria Math" w:cs="Cambria Math"/>
                <w:color w:val="C00000"/>
              </w:rPr>
              <w:t>⨀</w:t>
            </w:r>
            <w:r w:rsidRPr="009F466A">
              <w:t>)</w:t>
            </w:r>
          </w:p>
          <w:p w:rsidR="00321DBE" w:rsidRPr="009F466A" w:rsidRDefault="00321DBE" w:rsidP="00C21496">
            <w:pPr>
              <w:pStyle w:val="TableText1left"/>
            </w:pPr>
            <w:r w:rsidRPr="009F466A">
              <w:t>Significantly more patients improved their WHO FC with combination therapy compared with monotherapy (RR = 5.67; 95% CI 1.36, 23.61)</w:t>
            </w:r>
          </w:p>
        </w:tc>
      </w:tr>
      <w:tr w:rsidR="00321DBE" w:rsidRPr="009F466A" w:rsidTr="008B580D">
        <w:tc>
          <w:tcPr>
            <w:tcW w:w="1573"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Worsened WHO FC</w:t>
            </w:r>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8F752B" w:rsidP="00C21496">
            <w:pPr>
              <w:pStyle w:val="TableText1left"/>
            </w:pPr>
            <w:r>
              <w:t>STEP</w:t>
            </w:r>
            <w:r>
              <w:br/>
              <w:t>(iloprost/bosentan)</w:t>
            </w:r>
          </w:p>
          <w:p w:rsidR="00321DBE" w:rsidRPr="009F466A" w:rsidRDefault="00321DBE" w:rsidP="00C21496">
            <w:pPr>
              <w:pStyle w:val="TableText1left"/>
            </w:pPr>
            <w:r w:rsidRPr="009F466A">
              <w:t>N=65</w:t>
            </w:r>
          </w:p>
        </w:tc>
        <w:tc>
          <w:tcPr>
            <w:tcW w:w="6077"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t>)</w:t>
            </w:r>
          </w:p>
          <w:p w:rsidR="00321DBE" w:rsidRPr="009F466A" w:rsidRDefault="00321DBE" w:rsidP="00C21496">
            <w:pPr>
              <w:pStyle w:val="TableText1left"/>
            </w:pPr>
            <w:r w:rsidRPr="009F466A">
              <w:t>Fewer patients on combination therapy had worsening of their WHO FC compared with monotherapy, but the difference was not statistically significant (ARD = −3.0%; 95% CI −8.9, 2.8)</w:t>
            </w:r>
          </w:p>
        </w:tc>
      </w:tr>
      <w:tr w:rsidR="00321DBE" w:rsidRPr="009F466A" w:rsidTr="008B580D">
        <w:tc>
          <w:tcPr>
            <w:tcW w:w="1573" w:type="dxa"/>
          </w:tcPr>
          <w:p w:rsidR="00321DBE" w:rsidRPr="009F466A" w:rsidRDefault="00321DBE" w:rsidP="00C21496">
            <w:pPr>
              <w:pStyle w:val="TableText1left"/>
            </w:pPr>
            <w:r w:rsidRPr="009F466A">
              <w:t>Change in 6MWD</w:t>
            </w:r>
            <w:r w:rsidRPr="009F466A">
              <w:rPr>
                <w:rFonts w:cs="Arial"/>
              </w:rPr>
              <w:t xml:space="preserve"> from baseline</w:t>
            </w:r>
          </w:p>
        </w:tc>
        <w:tc>
          <w:tcPr>
            <w:tcW w:w="1984" w:type="dxa"/>
          </w:tcPr>
          <w:p w:rsidR="00321DBE" w:rsidRPr="009F466A" w:rsidRDefault="00321DBE" w:rsidP="00C21496">
            <w:pPr>
              <w:pStyle w:val="TableText1left"/>
            </w:pPr>
            <w:r w:rsidRPr="009F466A">
              <w:t>COMBI</w:t>
            </w:r>
            <w:r w:rsidRPr="009F466A">
              <w:br/>
              <w:t>(iloprost/bosentan)</w:t>
            </w:r>
          </w:p>
          <w:p w:rsidR="00321DBE" w:rsidRPr="009F466A" w:rsidRDefault="008F752B" w:rsidP="00C21496">
            <w:pPr>
              <w:pStyle w:val="TableText1left"/>
            </w:pPr>
            <w:r>
              <w:t>STEP</w:t>
            </w:r>
            <w:r>
              <w:br/>
              <w:t>(iloprost/bosentan)</w:t>
            </w:r>
          </w:p>
          <w:p w:rsidR="00321DBE" w:rsidRPr="009F466A" w:rsidRDefault="00321DBE" w:rsidP="00C21496">
            <w:pPr>
              <w:pStyle w:val="TableText1left"/>
            </w:pPr>
            <w:r w:rsidRPr="009F466A">
              <w:t>N=105</w:t>
            </w:r>
          </w:p>
        </w:tc>
        <w:tc>
          <w:tcPr>
            <w:tcW w:w="6077" w:type="dxa"/>
          </w:tcPr>
          <w:p w:rsidR="00321DBE" w:rsidRPr="009F466A" w:rsidRDefault="00321DBE" w:rsidP="00C21496">
            <w:pPr>
              <w:pStyle w:val="TableText1left"/>
            </w:pPr>
            <w:r w:rsidRPr="009F466A">
              <w:t xml:space="preserve">Low quality evidence (GRADE </w:t>
            </w:r>
            <w:r w:rsidRPr="009F466A">
              <w:rPr>
                <w:rFonts w:ascii="Cambria Math" w:hAnsi="Cambria Math" w:cs="Cambria Math"/>
                <w:color w:val="00B050"/>
              </w:rPr>
              <w:t>⨁⨁</w:t>
            </w:r>
            <w:r w:rsidRPr="009F466A">
              <w:rPr>
                <w:rFonts w:ascii="Cambria Math" w:hAnsi="Cambria Math" w:cs="Cambria Math"/>
                <w:color w:val="C00000"/>
              </w:rPr>
              <w:t>⨀</w:t>
            </w:r>
            <w:r w:rsidRPr="009F466A">
              <w:rPr>
                <w:rFonts w:ascii="Cambria Math" w:hAnsi="Cambria Math" w:cs="Cambria Math"/>
                <w:color w:val="FF0000"/>
              </w:rPr>
              <w:t>⨀</w:t>
            </w:r>
            <w:r w:rsidRPr="009F466A">
              <w:t>)</w:t>
            </w:r>
          </w:p>
          <w:p w:rsidR="00321DBE" w:rsidRPr="009F466A" w:rsidRDefault="00321DBE" w:rsidP="00C21496">
            <w:pPr>
              <w:pStyle w:val="TableText1left"/>
            </w:pPr>
            <w:r w:rsidRPr="009F466A">
              <w:t>Patients on combination therapy had a larger mean improvement in their 6MWD than those on monotherapy, but the difference was not clinically important (range 10−26 m walked further)</w:t>
            </w:r>
          </w:p>
        </w:tc>
      </w:tr>
      <w:tr w:rsidR="00321DBE" w:rsidRPr="009F466A" w:rsidTr="008B580D">
        <w:tc>
          <w:tcPr>
            <w:tcW w:w="1573" w:type="dxa"/>
          </w:tcPr>
          <w:p w:rsidR="00321DBE" w:rsidRPr="009F466A" w:rsidRDefault="00321DBE" w:rsidP="00C21496">
            <w:pPr>
              <w:pStyle w:val="TableText1left"/>
            </w:pPr>
            <w:r w:rsidRPr="009F466A">
              <w:t>Change in QoL</w:t>
            </w:r>
            <w:r w:rsidRPr="009F466A">
              <w:rPr>
                <w:rFonts w:cs="Arial"/>
              </w:rPr>
              <w:t xml:space="preserve"> </w:t>
            </w:r>
            <w:r w:rsidRPr="009F466A">
              <w:rPr>
                <w:rFonts w:cs="Arial"/>
              </w:rPr>
              <w:lastRenderedPageBreak/>
              <w:t>from baseline</w:t>
            </w:r>
            <w:r w:rsidRPr="009F466A">
              <w:t>:</w:t>
            </w:r>
          </w:p>
          <w:p w:rsidR="00321DBE" w:rsidRPr="009F466A" w:rsidRDefault="00321DBE" w:rsidP="00C21496">
            <w:pPr>
              <w:pStyle w:val="TableText1left"/>
            </w:pPr>
            <w:r w:rsidRPr="009F466A">
              <w:t>EQ-</w:t>
            </w:r>
            <w:proofErr w:type="spellStart"/>
            <w:r w:rsidRPr="009F466A">
              <w:t>VAS</w:t>
            </w:r>
            <w:r w:rsidRPr="009F466A">
              <w:rPr>
                <w:vertAlign w:val="superscript"/>
              </w:rPr>
              <w:t>a</w:t>
            </w:r>
            <w:proofErr w:type="spellEnd"/>
          </w:p>
        </w:tc>
        <w:tc>
          <w:tcPr>
            <w:tcW w:w="1984" w:type="dxa"/>
          </w:tcPr>
          <w:p w:rsidR="00321DBE" w:rsidRPr="009F466A" w:rsidRDefault="00321DBE" w:rsidP="00C21496">
            <w:pPr>
              <w:pStyle w:val="TableText1left"/>
            </w:pPr>
            <w:r w:rsidRPr="009F466A">
              <w:lastRenderedPageBreak/>
              <w:t>COMBI</w:t>
            </w:r>
            <w:r w:rsidRPr="009F466A">
              <w:br/>
            </w:r>
            <w:r w:rsidRPr="009F466A">
              <w:lastRenderedPageBreak/>
              <w:t>(iloprost/bosentan)</w:t>
            </w:r>
          </w:p>
          <w:p w:rsidR="00321DBE" w:rsidRPr="009F466A" w:rsidRDefault="00321DBE" w:rsidP="00C21496">
            <w:pPr>
              <w:pStyle w:val="TableText1left"/>
            </w:pPr>
            <w:r w:rsidRPr="009F466A">
              <w:t>N=40</w:t>
            </w:r>
          </w:p>
        </w:tc>
        <w:tc>
          <w:tcPr>
            <w:tcW w:w="6077" w:type="dxa"/>
          </w:tcPr>
          <w:p w:rsidR="00321DBE" w:rsidRPr="009F466A" w:rsidRDefault="00321DBE" w:rsidP="00C21496">
            <w:pPr>
              <w:pStyle w:val="TableText1left"/>
            </w:pPr>
            <w:r w:rsidRPr="009F466A">
              <w:lastRenderedPageBreak/>
              <w:t xml:space="preserve">Very low quality evidence (GRADE </w:t>
            </w:r>
            <w:r w:rsidRPr="009F466A">
              <w:rPr>
                <w:rFonts w:ascii="Cambria Math" w:hAnsi="Cambria Math" w:cs="Cambria Math"/>
                <w:color w:val="00B050"/>
              </w:rPr>
              <w:t>⨁</w:t>
            </w:r>
            <w:r w:rsidRPr="009F466A">
              <w:rPr>
                <w:rFonts w:ascii="Cambria Math" w:eastAsia="Times New Roman" w:hAnsi="Cambria Math" w:cs="Cambria Math"/>
                <w:bCs/>
                <w:color w:val="C00000"/>
              </w:rPr>
              <w:t>⨀</w:t>
            </w:r>
            <w:r w:rsidRPr="009F466A">
              <w:rPr>
                <w:rFonts w:ascii="Cambria Math" w:hAnsi="Cambria Math" w:cs="Cambria Math"/>
                <w:color w:val="C00000"/>
              </w:rPr>
              <w:t>⨀</w:t>
            </w:r>
            <w:r w:rsidRPr="009F466A">
              <w:rPr>
                <w:rFonts w:ascii="Cambria Math" w:hAnsi="Cambria Math" w:cs="Cambria Math"/>
                <w:color w:val="FF0000"/>
              </w:rPr>
              <w:t>⨀</w:t>
            </w:r>
            <w:r w:rsidRPr="009F466A">
              <w:t>)</w:t>
            </w:r>
          </w:p>
          <w:p w:rsidR="00321DBE" w:rsidRPr="009F466A" w:rsidRDefault="00321DBE" w:rsidP="00C21496">
            <w:pPr>
              <w:pStyle w:val="TableText1left"/>
            </w:pPr>
            <w:r w:rsidRPr="009F466A">
              <w:lastRenderedPageBreak/>
              <w:t>Patients on combination therapy had a larger mean improvement in their QoL than those on monotherapy (</w:t>
            </w:r>
            <w:r w:rsidRPr="009F466A">
              <w:rPr>
                <w:rFonts w:cs="Arial"/>
              </w:rPr>
              <w:t>MD = 10 point improvement was a clinically important difference</w:t>
            </w:r>
            <w:r w:rsidRPr="009F466A">
              <w:t>)</w:t>
            </w:r>
          </w:p>
        </w:tc>
      </w:tr>
      <w:tr w:rsidR="00321DBE" w:rsidRPr="009F466A" w:rsidTr="008B580D">
        <w:tc>
          <w:tcPr>
            <w:tcW w:w="1573" w:type="dxa"/>
          </w:tcPr>
          <w:p w:rsidR="00321DBE" w:rsidRPr="009F466A" w:rsidRDefault="00321DBE" w:rsidP="00C21496">
            <w:pPr>
              <w:pStyle w:val="TableText1left"/>
            </w:pPr>
            <w:r w:rsidRPr="009F466A">
              <w:lastRenderedPageBreak/>
              <w:t>Change in haemodynamic parameters</w:t>
            </w:r>
            <w:r w:rsidRPr="009F466A">
              <w:rPr>
                <w:rFonts w:cs="Arial"/>
              </w:rPr>
              <w:t xml:space="preserve"> from baseline</w:t>
            </w:r>
            <w:r w:rsidRPr="009F466A">
              <w:t>:</w:t>
            </w:r>
          </w:p>
          <w:p w:rsidR="00321DBE" w:rsidRPr="009F466A" w:rsidRDefault="00321DBE" w:rsidP="00C21496">
            <w:pPr>
              <w:pStyle w:val="TableText1left"/>
            </w:pPr>
            <w:r w:rsidRPr="009F466A">
              <w:t xml:space="preserve">CAI, PVR, </w:t>
            </w:r>
            <w:proofErr w:type="spellStart"/>
            <w:r w:rsidRPr="009F466A">
              <w:t>mPAP</w:t>
            </w:r>
            <w:proofErr w:type="spellEnd"/>
          </w:p>
        </w:tc>
        <w:tc>
          <w:tcPr>
            <w:tcW w:w="1984" w:type="dxa"/>
            <w:tcBorders>
              <w:top w:val="single" w:sz="4" w:space="0" w:color="auto"/>
              <w:left w:val="single" w:sz="4" w:space="0" w:color="auto"/>
              <w:bottom w:val="single" w:sz="4" w:space="0" w:color="auto"/>
              <w:right w:val="single" w:sz="4" w:space="0" w:color="auto"/>
            </w:tcBorders>
          </w:tcPr>
          <w:p w:rsidR="00321DBE" w:rsidRPr="009F466A" w:rsidRDefault="00321DBE" w:rsidP="00C21496">
            <w:pPr>
              <w:pStyle w:val="TableText1left"/>
            </w:pPr>
            <w:r w:rsidRPr="009F466A">
              <w:t>STEP</w:t>
            </w:r>
            <w:r w:rsidRPr="009F466A">
              <w:br/>
              <w:t>(iloprost/b</w:t>
            </w:r>
            <w:r w:rsidR="008F752B">
              <w:t>osentan)</w:t>
            </w:r>
          </w:p>
          <w:p w:rsidR="00321DBE" w:rsidRPr="009F466A" w:rsidRDefault="00321DBE" w:rsidP="00C21496">
            <w:pPr>
              <w:pStyle w:val="TableText1left"/>
            </w:pPr>
            <w:r w:rsidRPr="009F466A">
              <w:t>N=65</w:t>
            </w:r>
          </w:p>
        </w:tc>
        <w:tc>
          <w:tcPr>
            <w:tcW w:w="6077" w:type="dxa"/>
          </w:tcPr>
          <w:p w:rsidR="00321DBE" w:rsidRPr="009F466A" w:rsidRDefault="00321DBE" w:rsidP="00C21496">
            <w:pPr>
              <w:pStyle w:val="TableText1left"/>
            </w:pPr>
            <w:r w:rsidRPr="009F466A">
              <w:t>Moderate quality</w:t>
            </w:r>
            <w:r w:rsidRPr="009F466A">
              <w:rPr>
                <w:rFonts w:cs="Cambria Math"/>
              </w:rPr>
              <w:t xml:space="preserve"> evidence (GRADE </w:t>
            </w:r>
            <w:r w:rsidRPr="009F466A">
              <w:rPr>
                <w:rFonts w:ascii="Cambria Math" w:hAnsi="Cambria Math" w:cs="Cambria Math"/>
                <w:color w:val="00B050"/>
              </w:rPr>
              <w:t>⨁⨁⨁</w:t>
            </w:r>
            <w:r w:rsidRPr="009F466A">
              <w:rPr>
                <w:rFonts w:ascii="Cambria Math" w:hAnsi="Cambria Math" w:cs="Cambria Math"/>
                <w:color w:val="C00000"/>
              </w:rPr>
              <w:t>⨀</w:t>
            </w:r>
            <w:r w:rsidRPr="009F466A">
              <w:t>)</w:t>
            </w:r>
          </w:p>
          <w:p w:rsidR="00321DBE" w:rsidRPr="009F466A" w:rsidRDefault="00321DBE" w:rsidP="00C21496">
            <w:pPr>
              <w:pStyle w:val="TableText1left"/>
            </w:pPr>
            <w:r w:rsidRPr="009F466A">
              <w:t xml:space="preserve">Patients on combination therapy had a larger mean improvement in their haemodynamic parameters than those on monotherapy (PVR MD = 30.4% improvement was a clinically important difference; </w:t>
            </w:r>
            <w:proofErr w:type="spellStart"/>
            <w:r w:rsidRPr="009F466A">
              <w:t>mPAP</w:t>
            </w:r>
            <w:proofErr w:type="spellEnd"/>
            <w:r w:rsidRPr="009F466A">
              <w:t xml:space="preserve"> clinically important MD = 15.6% improvement)</w:t>
            </w:r>
          </w:p>
        </w:tc>
      </w:tr>
    </w:tbl>
    <w:p w:rsidR="00321DBE" w:rsidRPr="00532B79" w:rsidRDefault="00321DBE" w:rsidP="00C21496">
      <w:pPr>
        <w:pStyle w:val="Tablenote"/>
        <w:jc w:val="left"/>
      </w:pPr>
      <w:proofErr w:type="gramStart"/>
      <w:r w:rsidRPr="00532B79">
        <w:t>a</w:t>
      </w:r>
      <w:proofErr w:type="gramEnd"/>
      <w:r w:rsidRPr="00532B79">
        <w:t xml:space="preserve"> EQ-VAS scores range from 0 to 100. A higher score represents better QoL. </w:t>
      </w:r>
    </w:p>
    <w:p w:rsidR="00321DBE" w:rsidRPr="00532B79" w:rsidRDefault="00321DBE" w:rsidP="00C21496">
      <w:pPr>
        <w:pStyle w:val="Tablenote"/>
        <w:jc w:val="left"/>
      </w:pPr>
      <w:r w:rsidRPr="00532B79">
        <w:t xml:space="preserve">6MWD = 6-minute walk distance; ARD = absolute risk difference; CAI = cardiac index; CI = confidence interval; EQ-VAS = </w:t>
      </w:r>
      <w:proofErr w:type="spellStart"/>
      <w:r w:rsidRPr="00532B79">
        <w:t>EuroQoL</w:t>
      </w:r>
      <w:proofErr w:type="spellEnd"/>
      <w:r w:rsidRPr="00532B79">
        <w:t xml:space="preserve"> visual analogue scale; ERA = endothelin receptor antagonist; FC = functional class; GRADE = grading of recommendations assessment, development and evaluation1; MD = mean difference; </w:t>
      </w:r>
      <w:proofErr w:type="spellStart"/>
      <w:r w:rsidRPr="00532B79">
        <w:t>mPAP</w:t>
      </w:r>
      <w:proofErr w:type="spellEnd"/>
      <w:r w:rsidRPr="00532B79">
        <w:t xml:space="preserve"> = mean pulmonary artery pressure; PAH = pulmonary arterial hypertension; PVR = pulmonary vascular resistance; QoL = quality of life; RR = relative risk; WHO = World Health Organization</w:t>
      </w:r>
    </w:p>
    <w:p w:rsidR="0016033A" w:rsidRPr="0016033A" w:rsidRDefault="0016033A" w:rsidP="00C21496">
      <w:pPr>
        <w:pStyle w:val="Heading5"/>
        <w:keepLines w:val="0"/>
        <w:numPr>
          <w:ilvl w:val="0"/>
          <w:numId w:val="0"/>
        </w:numPr>
        <w:spacing w:before="240"/>
        <w:jc w:val="left"/>
        <w:rPr>
          <w:color w:val="auto"/>
          <w:u w:val="single"/>
        </w:rPr>
      </w:pPr>
      <w:bookmarkStart w:id="111" w:name="_Ref506203156"/>
      <w:bookmarkStart w:id="112" w:name="_Toc508396847"/>
      <w:r w:rsidRPr="0016033A">
        <w:rPr>
          <w:color w:val="auto"/>
          <w:u w:val="single"/>
        </w:rPr>
        <w:t>Safety</w:t>
      </w:r>
    </w:p>
    <w:p w:rsidR="0016033A" w:rsidRDefault="0016033A" w:rsidP="00C21496">
      <w:pPr>
        <w:jc w:val="left"/>
      </w:pPr>
      <w:r>
        <w:t xml:space="preserve">Two RCTs reported on the comparative safety of treatment with a </w:t>
      </w:r>
      <w:r w:rsidRPr="00E413B2">
        <w:t xml:space="preserve">prostanoid in addition to an ERA </w:t>
      </w:r>
      <w:r>
        <w:t xml:space="preserve">compared with an ERA alone in patients with </w:t>
      </w:r>
      <w:r w:rsidRPr="00E413B2">
        <w:t xml:space="preserve">WHO FC III/IV </w:t>
      </w:r>
      <w:r>
        <w:t>PAH:</w:t>
      </w:r>
    </w:p>
    <w:p w:rsidR="0016033A" w:rsidRPr="00B96C6F" w:rsidRDefault="0016033A" w:rsidP="00C21496">
      <w:pPr>
        <w:pStyle w:val="Bullettext"/>
        <w:ind w:left="720"/>
      </w:pPr>
      <w:r>
        <w:t>COMBI and STEP</w:t>
      </w:r>
    </w:p>
    <w:p w:rsidR="0016033A" w:rsidRPr="00B96C6F" w:rsidRDefault="0016033A" w:rsidP="00C21496">
      <w:pPr>
        <w:pStyle w:val="Bullettext"/>
        <w:ind w:left="720"/>
      </w:pPr>
      <w:r w:rsidRPr="00B96C6F">
        <w:t xml:space="preserve">There were no new </w:t>
      </w:r>
      <w:r>
        <w:t>safety signals identified.</w:t>
      </w:r>
    </w:p>
    <w:p w:rsidR="0016033A" w:rsidRPr="00256659" w:rsidRDefault="0016033A" w:rsidP="00C21496">
      <w:pPr>
        <w:jc w:val="left"/>
      </w:pPr>
      <w:r w:rsidRPr="00256659">
        <w:t>The evidence provided by these trials is summarised in</w:t>
      </w:r>
      <w:r w:rsidR="00C10642">
        <w:t xml:space="preserve"> </w:t>
      </w:r>
      <w:r w:rsidR="00CC79E1">
        <w:t>Table ES.</w:t>
      </w:r>
      <w:r w:rsidR="00CC79E1">
        <w:rPr>
          <w:noProof/>
        </w:rPr>
        <w:t>18</w:t>
      </w:r>
      <w:r w:rsidRPr="00256659">
        <w:t>.</w:t>
      </w:r>
    </w:p>
    <w:p w:rsidR="0016033A" w:rsidRDefault="0016033A" w:rsidP="00C21496">
      <w:pPr>
        <w:jc w:val="left"/>
      </w:pPr>
      <w:r>
        <w:t xml:space="preserve">Overall, </w:t>
      </w:r>
      <w:r w:rsidRPr="001E5DED">
        <w:t xml:space="preserve">there is considerable uncertainty as to whether the use of a prostanoid in addition to </w:t>
      </w:r>
      <w:r>
        <w:t xml:space="preserve">an </w:t>
      </w:r>
      <w:r w:rsidRPr="001E5DED">
        <w:t>ERA is likely to be as safe as ERA monotherapy in patients with WHO FC III/IV PAH</w:t>
      </w:r>
      <w:r w:rsidRPr="006316DF">
        <w:t xml:space="preserve">. </w:t>
      </w:r>
    </w:p>
    <w:p w:rsidR="00A365C7" w:rsidRPr="009F466A" w:rsidRDefault="00A365C7" w:rsidP="00C21496">
      <w:pPr>
        <w:pStyle w:val="Caption"/>
        <w:jc w:val="left"/>
      </w:pPr>
      <w:bookmarkStart w:id="113" w:name="_Ref511118877"/>
      <w:bookmarkStart w:id="114" w:name="_Toc513108462"/>
      <w:bookmarkEnd w:id="111"/>
      <w:bookmarkEnd w:id="112"/>
      <w:r>
        <w:t>Table ES.</w:t>
      </w:r>
      <w:r w:rsidR="00CC79E1">
        <w:rPr>
          <w:noProof/>
        </w:rPr>
        <w:t>18</w:t>
      </w:r>
      <w:bookmarkEnd w:id="113"/>
      <w:r>
        <w:tab/>
      </w:r>
      <w:r w:rsidRPr="009F466A">
        <w:t>Summary of the evidence for the safety of a prostanoid in addition to an ERA, relative to ERA monotherapy</w:t>
      </w:r>
      <w:bookmarkEnd w:id="114"/>
    </w:p>
    <w:tbl>
      <w:tblPr>
        <w:tblStyle w:val="TableGrid"/>
        <w:tblW w:w="9634" w:type="dxa"/>
        <w:tblLook w:val="04A0" w:firstRow="1" w:lastRow="0" w:firstColumn="1" w:lastColumn="0" w:noHBand="0" w:noVBand="1"/>
        <w:tblCaption w:val="Summary of the evidence for the safety of a prostanoid in addition to an ERA, relative to ERA monotherapy"/>
      </w:tblPr>
      <w:tblGrid>
        <w:gridCol w:w="1555"/>
        <w:gridCol w:w="1984"/>
        <w:gridCol w:w="6095"/>
      </w:tblGrid>
      <w:tr w:rsidR="00321DBE" w:rsidRPr="009F466A"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 xml:space="preserve">Included trials </w:t>
            </w:r>
          </w:p>
          <w:p w:rsidR="00321DBE" w:rsidRPr="00A4053B" w:rsidRDefault="00321DBE" w:rsidP="00C21496">
            <w:pPr>
              <w:pStyle w:val="Tabletext"/>
              <w:rPr>
                <w:b/>
              </w:rPr>
            </w:pPr>
            <w:r w:rsidRPr="00A4053B">
              <w:rPr>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A4053B" w:rsidRDefault="00321DBE" w:rsidP="00C21496">
            <w:pPr>
              <w:pStyle w:val="Tabletext"/>
              <w:rPr>
                <w:b/>
              </w:rPr>
            </w:pPr>
            <w:r w:rsidRPr="00A4053B">
              <w:rPr>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pPr>
            <w:r w:rsidRPr="00532B79">
              <w:t>Patients with WHO FC III/IV PAH</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Any AE</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COMBI</w:t>
            </w:r>
            <w:r w:rsidRPr="00532B79">
              <w:br/>
              <w:t>(iloprost/bosentan)</w:t>
            </w:r>
          </w:p>
          <w:p w:rsidR="00321DBE" w:rsidRPr="00532B79" w:rsidRDefault="00321DBE" w:rsidP="00C21496">
            <w:pPr>
              <w:pStyle w:val="Tabletext"/>
            </w:pPr>
            <w:r w:rsidRPr="00532B79">
              <w:t>STEP</w:t>
            </w:r>
            <w:r w:rsidRPr="00532B79">
              <w:br/>
              <w:t>(iloprost/bosentan)</w:t>
            </w:r>
          </w:p>
          <w:p w:rsidR="00321DBE" w:rsidRPr="00532B79" w:rsidRDefault="00321DBE" w:rsidP="00C21496">
            <w:pPr>
              <w:pStyle w:val="Tabletext"/>
            </w:pPr>
            <w:r w:rsidRPr="00532B79">
              <w:t>N=107</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experienced an AE with combination therapy compared with monotherapy, but the 95% CI indicates there was an effect in the opposite direction (pooled RR = 2.40; 95% CI 0.15, 37.41)</w:t>
            </w:r>
          </w:p>
        </w:tc>
      </w:tr>
      <w:tr w:rsidR="00321DBE" w:rsidRPr="009F466A" w:rsidTr="00321DBE">
        <w:tc>
          <w:tcPr>
            <w:tcW w:w="1555" w:type="dxa"/>
          </w:tcPr>
          <w:p w:rsidR="00321DBE" w:rsidRPr="00532B79" w:rsidRDefault="00321DBE" w:rsidP="00C21496">
            <w:pPr>
              <w:pStyle w:val="Tabletext"/>
            </w:pPr>
            <w:r w:rsidRPr="00532B79">
              <w:t>Serious AEs</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STEP</w:t>
            </w:r>
            <w:r w:rsidRPr="00532B79">
              <w:br/>
              <w:t>(iloprost/bosentan)</w:t>
            </w:r>
          </w:p>
          <w:p w:rsidR="00321DBE" w:rsidRPr="00532B79" w:rsidRDefault="00321DBE" w:rsidP="00C21496">
            <w:pPr>
              <w:pStyle w:val="Tabletext"/>
            </w:pPr>
            <w:r w:rsidRPr="00532B79">
              <w:t>N=67</w:t>
            </w:r>
          </w:p>
        </w:tc>
        <w:tc>
          <w:tcPr>
            <w:tcW w:w="6095" w:type="dxa"/>
          </w:tcPr>
          <w:p w:rsidR="00321DBE" w:rsidRPr="00532B79" w:rsidRDefault="00321DBE" w:rsidP="00C21496">
            <w:pPr>
              <w:pStyle w:val="Tabletext"/>
            </w:pPr>
            <w:r w:rsidRPr="00532B79">
              <w:t xml:space="preserve">Moderate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Fewer patients had a serious AE with combination therapy compared with monotherapy, but the 95% CI indicates that there could also be an effect in the opposite direction (RR = 0.65; 95% CI 0.23, 1.85)</w:t>
            </w:r>
          </w:p>
        </w:tc>
      </w:tr>
      <w:tr w:rsidR="00321DBE" w:rsidRPr="009F466A" w:rsidTr="00321DBE">
        <w:tc>
          <w:tcPr>
            <w:tcW w:w="1555" w:type="dxa"/>
          </w:tcPr>
          <w:p w:rsidR="00321DBE" w:rsidRPr="00532B79" w:rsidRDefault="00321DBE" w:rsidP="00C21496">
            <w:pPr>
              <w:pStyle w:val="Tabletext"/>
            </w:pPr>
            <w:r w:rsidRPr="00532B79">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COMBI</w:t>
            </w:r>
            <w:r w:rsidRPr="00532B79">
              <w:br/>
              <w:t>(iloprost/bosentan)</w:t>
            </w:r>
          </w:p>
          <w:p w:rsidR="00321DBE" w:rsidRPr="00532B79" w:rsidRDefault="00321DBE" w:rsidP="00C21496">
            <w:pPr>
              <w:pStyle w:val="Tabletext"/>
            </w:pPr>
            <w:r w:rsidRPr="00532B79">
              <w:t>N=40</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pPr>
            <w:r w:rsidRPr="00532B79">
              <w:t xml:space="preserve">Very low quality evidence (GRADE </w:t>
            </w:r>
            <w:r w:rsidRPr="00532B79">
              <w:rPr>
                <w:rFonts w:ascii="Cambria Math" w:hAnsi="Cambria Math" w:cs="Cambria Math"/>
              </w:rPr>
              <w:t>⨁⨀⨀⨀</w:t>
            </w:r>
            <w:r w:rsidRPr="00532B79">
              <w:t>)</w:t>
            </w:r>
          </w:p>
          <w:p w:rsidR="00321DBE" w:rsidRPr="00532B79" w:rsidRDefault="00321DBE" w:rsidP="00C21496">
            <w:pPr>
              <w:pStyle w:val="Tabletext"/>
            </w:pPr>
            <w:r w:rsidRPr="00532B79">
              <w:t>More patients had an AE leading to treatment discontinuation with combination therapy compared with monotherapy, but the difference was not statistically significant (ARD = 5.2%; 95% CI −4.8, 15.3)</w:t>
            </w:r>
          </w:p>
        </w:tc>
      </w:tr>
    </w:tbl>
    <w:p w:rsidR="00321DBE" w:rsidRPr="008F752B" w:rsidRDefault="00321DBE" w:rsidP="00C21496">
      <w:pPr>
        <w:pStyle w:val="Tablenote"/>
        <w:jc w:val="left"/>
      </w:pPr>
      <w:r w:rsidRPr="008F752B">
        <w:lastRenderedPageBreak/>
        <w:t>AE = adverse event; CI = confidence interval; ERA = endothelin receptor antagonist; FC = functional class; GRADE = grading of recommendations assessment, development and evaluation1; PAH = pulmonary arterial hypertension; RR = relative risk; WHO = World Health Organization</w:t>
      </w:r>
    </w:p>
    <w:p w:rsidR="00321DBE" w:rsidRPr="009F466A" w:rsidRDefault="00321DBE" w:rsidP="00C21496">
      <w:pPr>
        <w:pStyle w:val="Heading4"/>
      </w:pPr>
      <w:proofErr w:type="gramStart"/>
      <w:r w:rsidRPr="009F466A">
        <w:t>sGC</w:t>
      </w:r>
      <w:proofErr w:type="gramEnd"/>
      <w:r w:rsidRPr="009F466A">
        <w:t xml:space="preserve"> stimulator in addition to an ERA</w:t>
      </w:r>
    </w:p>
    <w:p w:rsidR="0016033A" w:rsidRPr="0016033A" w:rsidRDefault="0016033A" w:rsidP="00C21496">
      <w:pPr>
        <w:pStyle w:val="Heading5"/>
        <w:keepLines w:val="0"/>
        <w:numPr>
          <w:ilvl w:val="0"/>
          <w:numId w:val="0"/>
        </w:numPr>
        <w:spacing w:before="240"/>
        <w:jc w:val="left"/>
        <w:rPr>
          <w:color w:val="auto"/>
          <w:u w:val="single"/>
        </w:rPr>
      </w:pPr>
      <w:bookmarkStart w:id="115" w:name="_Ref506204602"/>
      <w:bookmarkStart w:id="116" w:name="_Toc508396848"/>
      <w:r w:rsidRPr="0016033A">
        <w:rPr>
          <w:color w:val="auto"/>
          <w:u w:val="single"/>
        </w:rPr>
        <w:t>Clinical effectiveness</w:t>
      </w:r>
    </w:p>
    <w:p w:rsidR="0016033A" w:rsidRDefault="0016033A" w:rsidP="00C21496">
      <w:pPr>
        <w:jc w:val="left"/>
      </w:pPr>
      <w:r>
        <w:t xml:space="preserve">One </w:t>
      </w:r>
      <w:r w:rsidRPr="00822C52">
        <w:t xml:space="preserve">RCT reported on the effectiveness of a </w:t>
      </w:r>
      <w:r w:rsidRPr="002375AD">
        <w:t xml:space="preserve">sGC stimulator in addition to an ERA </w:t>
      </w:r>
      <w:r w:rsidRPr="00822C52">
        <w:t xml:space="preserve">in treating PAH </w:t>
      </w:r>
      <w:r>
        <w:t xml:space="preserve">when </w:t>
      </w:r>
      <w:r w:rsidRPr="00822C52">
        <w:t xml:space="preserve">compared with </w:t>
      </w:r>
      <w:r>
        <w:t xml:space="preserve">a </w:t>
      </w:r>
      <w:r w:rsidRPr="00822C52">
        <w:t>placebo plus a</w:t>
      </w:r>
      <w:r>
        <w:t>n</w:t>
      </w:r>
      <w:r w:rsidRPr="00822C52">
        <w:t xml:space="preserve"> </w:t>
      </w:r>
      <w:r>
        <w:t>ERA</w:t>
      </w:r>
      <w:r w:rsidRPr="00822C52">
        <w:t xml:space="preserve"> in patients with PAH</w:t>
      </w:r>
      <w:r>
        <w:t>:</w:t>
      </w:r>
    </w:p>
    <w:p w:rsidR="0016033A" w:rsidRPr="00CF209C" w:rsidRDefault="0016033A" w:rsidP="00C21496">
      <w:pPr>
        <w:pStyle w:val="Bullettext"/>
        <w:ind w:left="720"/>
      </w:pPr>
      <w:r>
        <w:t>PATENT-1</w:t>
      </w:r>
      <w:r w:rsidRPr="00CF209C">
        <w:t xml:space="preserve"> enrolled </w:t>
      </w:r>
      <w:r>
        <w:t xml:space="preserve">WHO FC I-IV PAH patients </w:t>
      </w:r>
      <w:r w:rsidRPr="00CA622D">
        <w:t xml:space="preserve">with or without background ERA or prostanoid therapy, </w:t>
      </w:r>
      <w:r>
        <w:t xml:space="preserve">to receive riociguat or placebo. </w:t>
      </w:r>
    </w:p>
    <w:p w:rsidR="0016033A" w:rsidRPr="00CF209C" w:rsidRDefault="0016033A" w:rsidP="00C21496">
      <w:pPr>
        <w:pStyle w:val="Bullettext"/>
        <w:ind w:left="720"/>
      </w:pPr>
      <w:r>
        <w:t>A s</w:t>
      </w:r>
      <w:r w:rsidRPr="00CF209C">
        <w:t xml:space="preserve">ubgroup analysis for </w:t>
      </w:r>
      <w:r>
        <w:t xml:space="preserve">pre-treated </w:t>
      </w:r>
      <w:r w:rsidRPr="00CF209C">
        <w:t>patients with WHO FC III/IV PAH</w:t>
      </w:r>
      <w:r>
        <w:t xml:space="preserve"> was also undertaken</w:t>
      </w:r>
    </w:p>
    <w:p w:rsidR="0016033A" w:rsidRPr="00CF209C" w:rsidRDefault="0016033A" w:rsidP="00C21496">
      <w:pPr>
        <w:pStyle w:val="Bullettext"/>
        <w:numPr>
          <w:ilvl w:val="1"/>
          <w:numId w:val="7"/>
        </w:numPr>
        <w:ind w:left="1134"/>
      </w:pPr>
      <w:r w:rsidRPr="00054374">
        <w:t xml:space="preserve">12/87 (14%) patients </w:t>
      </w:r>
      <w:r>
        <w:t xml:space="preserve">in this subgroup </w:t>
      </w:r>
      <w:r w:rsidRPr="00054374">
        <w:t>were treated with a prostanoid</w:t>
      </w:r>
      <w:r>
        <w:t xml:space="preserve"> instead of an ERA.</w:t>
      </w:r>
    </w:p>
    <w:p w:rsidR="0016033A" w:rsidRDefault="0016033A" w:rsidP="00C21496">
      <w:pPr>
        <w:jc w:val="left"/>
      </w:pPr>
      <w:r>
        <w:t xml:space="preserve">The evidence provided by this trial is summarised in </w:t>
      </w:r>
      <w:r w:rsidR="00CC79E1">
        <w:t>Table ES.</w:t>
      </w:r>
      <w:r w:rsidR="00CC79E1">
        <w:rPr>
          <w:noProof/>
        </w:rPr>
        <w:t>19</w:t>
      </w:r>
      <w:r>
        <w:t>.</w:t>
      </w:r>
    </w:p>
    <w:p w:rsidR="0016033A" w:rsidRDefault="0016033A" w:rsidP="00C21496">
      <w:pPr>
        <w:jc w:val="left"/>
      </w:pPr>
      <w:r>
        <w:t xml:space="preserve">Overall, </w:t>
      </w:r>
      <w:r w:rsidRPr="000522D6">
        <w:t xml:space="preserve">there </w:t>
      </w:r>
      <w:r w:rsidRPr="006F5806">
        <w:t xml:space="preserve">is </w:t>
      </w:r>
      <w:r>
        <w:t xml:space="preserve">very </w:t>
      </w:r>
      <w:r w:rsidRPr="006F5806">
        <w:t>limited</w:t>
      </w:r>
      <w:r w:rsidRPr="000522D6">
        <w:t xml:space="preserve"> evidence </w:t>
      </w:r>
      <w:r>
        <w:t>indicating that the</w:t>
      </w:r>
      <w:r w:rsidRPr="000522D6">
        <w:t xml:space="preserve"> </w:t>
      </w:r>
      <w:r w:rsidRPr="006316DF">
        <w:t xml:space="preserve">use of a </w:t>
      </w:r>
      <w:r w:rsidRPr="00DC1C45">
        <w:t>sGC stimulator</w:t>
      </w:r>
      <w:r w:rsidRPr="00D00AC2">
        <w:t xml:space="preserve"> in addition to an ERA</w:t>
      </w:r>
      <w:r w:rsidRPr="000522D6">
        <w:t xml:space="preserve">, relative to </w:t>
      </w:r>
      <w:r>
        <w:t>ERA</w:t>
      </w:r>
      <w:r w:rsidRPr="000522D6">
        <w:t xml:space="preserve"> monotherapy</w:t>
      </w:r>
      <w:r>
        <w:t>,</w:t>
      </w:r>
      <w:r w:rsidRPr="000522D6">
        <w:t xml:space="preserve"> </w:t>
      </w:r>
      <w:r w:rsidR="00A765F3">
        <w:rPr>
          <w:noProof/>
          <w:color w:val="000000"/>
          <w:highlight w:val="black"/>
        </w:rPr>
        <w:t>''''''''' '''''' '''''''''''''''''</w:t>
      </w:r>
      <w:r w:rsidRPr="00AB7ED5">
        <w:t xml:space="preserve"> </w:t>
      </w:r>
      <w:r>
        <w:t>for PAH patients</w:t>
      </w:r>
      <w:r w:rsidRPr="006316DF">
        <w:t xml:space="preserve">. </w:t>
      </w:r>
      <w:r>
        <w:t>The evidence for patients with WHO FC III/IV PAH</w:t>
      </w:r>
      <w:r w:rsidRPr="00FD4377">
        <w:t xml:space="preserve"> </w:t>
      </w:r>
      <w:r>
        <w:t xml:space="preserve">showed a similar </w:t>
      </w:r>
      <w:r w:rsidR="00A765F3">
        <w:rPr>
          <w:noProof/>
          <w:color w:val="000000"/>
          <w:highlight w:val="black"/>
        </w:rPr>
        <w:t>'''''''''''''''''</w:t>
      </w:r>
      <w:r>
        <w:t xml:space="preserve"> effect. This finding would be stronger if it were replicated in additional research.</w:t>
      </w:r>
    </w:p>
    <w:p w:rsidR="00A365C7" w:rsidRPr="00A365C7" w:rsidRDefault="00A365C7" w:rsidP="00C21496">
      <w:pPr>
        <w:pStyle w:val="Caption"/>
        <w:jc w:val="left"/>
      </w:pPr>
      <w:bookmarkStart w:id="117" w:name="_Ref511118889"/>
      <w:bookmarkStart w:id="118" w:name="_Toc513108463"/>
      <w:bookmarkEnd w:id="115"/>
      <w:bookmarkEnd w:id="116"/>
      <w:r>
        <w:t>Table ES.</w:t>
      </w:r>
      <w:r w:rsidR="00CC79E1">
        <w:rPr>
          <w:noProof/>
        </w:rPr>
        <w:t>19</w:t>
      </w:r>
      <w:bookmarkEnd w:id="117"/>
      <w:r>
        <w:tab/>
      </w:r>
      <w:r w:rsidRPr="009F466A">
        <w:t>Summary of the evidence for the clinical effectiveness of a sGC stimulator in addition to an ERA, relative to ERA monotherapy</w:t>
      </w:r>
      <w:bookmarkEnd w:id="118"/>
    </w:p>
    <w:tbl>
      <w:tblPr>
        <w:tblStyle w:val="TableGrid"/>
        <w:tblW w:w="5000" w:type="pct"/>
        <w:tblLayout w:type="fixed"/>
        <w:tblLook w:val="04A0" w:firstRow="1" w:lastRow="0" w:firstColumn="1" w:lastColumn="0" w:noHBand="0" w:noVBand="1"/>
        <w:tblCaption w:val="Summary of the evidence for the clinical effectiveness of a sGC stimulator in addition to an ERA, relative to ERA monotherapy"/>
      </w:tblPr>
      <w:tblGrid>
        <w:gridCol w:w="1526"/>
        <w:gridCol w:w="1701"/>
        <w:gridCol w:w="6015"/>
      </w:tblGrid>
      <w:tr w:rsidR="00321DBE" w:rsidRPr="009F466A" w:rsidTr="00C743FC">
        <w:trPr>
          <w:tblHeader/>
        </w:trPr>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Outcome</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 xml:space="preserve">Included trials </w:t>
            </w:r>
          </w:p>
          <w:p w:rsidR="00321DBE" w:rsidRPr="00532B79" w:rsidRDefault="00321DBE" w:rsidP="00C21496">
            <w:pPr>
              <w:pStyle w:val="Tabletext"/>
              <w:rPr>
                <w:rFonts w:cs="Arial"/>
                <w:b/>
              </w:rPr>
            </w:pPr>
            <w:r w:rsidRPr="00532B79">
              <w:rPr>
                <w:rFonts w:cs="Arial"/>
                <w:b/>
              </w:rPr>
              <w:t xml:space="preserve">No. of patients </w:t>
            </w:r>
          </w:p>
        </w:tc>
        <w:tc>
          <w:tcPr>
            <w:tcW w:w="3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743FC">
            <w:pPr>
              <w:pStyle w:val="Tabletext"/>
              <w:rPr>
                <w:rFonts w:cs="Arial"/>
                <w:b/>
              </w:rPr>
            </w:pPr>
            <w:r w:rsidRPr="00532B79">
              <w:rPr>
                <w:rFonts w:cs="Arial"/>
                <w:b/>
              </w:rPr>
              <w:t>Summary of evidence</w:t>
            </w:r>
          </w:p>
        </w:tc>
      </w:tr>
      <w:tr w:rsidR="00321DBE" w:rsidRPr="009F466A" w:rsidTr="00C743FC">
        <w:tc>
          <w:tcPr>
            <w:tcW w:w="5000" w:type="pct"/>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743FC">
            <w:pPr>
              <w:pStyle w:val="Tabletext"/>
              <w:keepNext/>
              <w:rPr>
                <w:rFonts w:cs="Arial"/>
              </w:rPr>
            </w:pPr>
            <w:r w:rsidRPr="00532B79">
              <w:rPr>
                <w:rFonts w:cs="Arial"/>
              </w:rPr>
              <w:t>All PAH patients</w:t>
            </w:r>
          </w:p>
        </w:tc>
      </w:tr>
      <w:tr w:rsidR="00C743FC" w:rsidRPr="009F466A" w:rsidTr="00C743FC">
        <w:tc>
          <w:tcPr>
            <w:tcW w:w="826"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Clinical worsening</w:t>
            </w:r>
          </w:p>
        </w:tc>
        <w:tc>
          <w:tcPr>
            <w:tcW w:w="920"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(riociguat/ERA)</w:t>
            </w:r>
          </w:p>
          <w:p w:rsidR="00321DBE" w:rsidRPr="00532B79" w:rsidRDefault="00321DBE" w:rsidP="00C21496">
            <w:pPr>
              <w:pStyle w:val="Tabletext"/>
              <w:rPr>
                <w:rFonts w:cs="Arial"/>
              </w:rPr>
            </w:pPr>
            <w:r w:rsidRPr="00532B79">
              <w:rPr>
                <w:rFonts w:cs="Arial"/>
              </w:rPr>
              <w:t>N=167</w:t>
            </w:r>
          </w:p>
        </w:tc>
        <w:tc>
          <w:tcPr>
            <w:tcW w:w="3254" w:type="pct"/>
            <w:tcBorders>
              <w:top w:val="single" w:sz="4" w:space="0" w:color="auto"/>
              <w:left w:val="single" w:sz="4" w:space="0" w:color="auto"/>
              <w:bottom w:val="single" w:sz="4" w:space="0" w:color="auto"/>
              <w:right w:val="single" w:sz="4" w:space="0" w:color="auto"/>
            </w:tcBorders>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C743FC" w:rsidRDefault="00A765F3" w:rsidP="00C743FC">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r w:rsidR="00C743FC">
              <w:rPr>
                <w:rFonts w:ascii="Symbol" w:hAnsi="Symbol" w:cs="Arial"/>
                <w:noProof/>
                <w:color w:val="000000"/>
                <w:sz w:val="16"/>
                <w:szCs w:val="16"/>
                <w:highlight w:val="black"/>
              </w:rPr>
              <w:t></w:t>
            </w:r>
          </w:p>
        </w:tc>
      </w:tr>
      <w:tr w:rsidR="00C743FC" w:rsidRPr="009F466A" w:rsidTr="00C743FC">
        <w:tc>
          <w:tcPr>
            <w:tcW w:w="826" w:type="pct"/>
          </w:tcPr>
          <w:p w:rsidR="00321DBE" w:rsidRPr="00532B79" w:rsidRDefault="00321DBE" w:rsidP="00C21496">
            <w:pPr>
              <w:pStyle w:val="Tabletext"/>
              <w:rPr>
                <w:rFonts w:cs="Arial"/>
              </w:rPr>
            </w:pPr>
            <w:r w:rsidRPr="00532B79">
              <w:rPr>
                <w:rFonts w:cs="Arial"/>
              </w:rPr>
              <w:t>All-cause mortality</w:t>
            </w:r>
          </w:p>
        </w:tc>
        <w:tc>
          <w:tcPr>
            <w:tcW w:w="920"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C743FC" w:rsidRDefault="00A765F3" w:rsidP="00C743FC">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Hospitalisation due to worsening PAH</w:t>
            </w:r>
          </w:p>
        </w:tc>
        <w:tc>
          <w:tcPr>
            <w:tcW w:w="920"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Borders>
              <w:top w:val="single" w:sz="4" w:space="0" w:color="auto"/>
              <w:left w:val="single" w:sz="4" w:space="0" w:color="auto"/>
              <w:bottom w:val="single" w:sz="4" w:space="0" w:color="auto"/>
              <w:right w:val="single" w:sz="4" w:space="0" w:color="auto"/>
            </w:tcBorders>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A765F3" w:rsidRDefault="00A765F3" w:rsidP="00C743FC">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Improved WHO FC</w:t>
            </w:r>
          </w:p>
        </w:tc>
        <w:tc>
          <w:tcPr>
            <w:tcW w:w="920"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Borders>
              <w:top w:val="single" w:sz="4" w:space="0" w:color="auto"/>
              <w:left w:val="single" w:sz="4" w:space="0" w:color="auto"/>
              <w:bottom w:val="single" w:sz="4" w:space="0" w:color="auto"/>
              <w:right w:val="single" w:sz="4" w:space="0" w:color="auto"/>
            </w:tcBorders>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A765F3" w:rsidRDefault="00A765F3" w:rsidP="00C743FC">
            <w:pPr>
              <w:pStyle w:val="Tabletext"/>
              <w:spacing w:before="20" w:after="20"/>
              <w:ind w:left="227" w:hanging="227"/>
              <w:rPr>
                <w:rFonts w:cs="Arial"/>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lastRenderedPageBreak/>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Pr>
          <w:p w:rsidR="00321DBE" w:rsidRPr="00532B79" w:rsidRDefault="00321DBE" w:rsidP="00C21496">
            <w:pPr>
              <w:pStyle w:val="Tabletext"/>
              <w:rPr>
                <w:rFonts w:cs="Arial"/>
              </w:rPr>
            </w:pPr>
            <w:r w:rsidRPr="00532B79">
              <w:rPr>
                <w:rFonts w:cs="Arial"/>
              </w:rPr>
              <w:lastRenderedPageBreak/>
              <w:t>Worsened WHO FC</w:t>
            </w:r>
          </w:p>
        </w:tc>
        <w:tc>
          <w:tcPr>
            <w:tcW w:w="920"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C743FC" w:rsidRDefault="00A765F3" w:rsidP="002E6D42">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Pr>
          <w:p w:rsidR="00321DBE" w:rsidRPr="00532B79" w:rsidRDefault="00321DBE" w:rsidP="00C21496">
            <w:pPr>
              <w:pStyle w:val="Tabletext"/>
              <w:rPr>
                <w:rFonts w:cs="Arial"/>
              </w:rPr>
            </w:pPr>
            <w:r w:rsidRPr="00532B79">
              <w:rPr>
                <w:rFonts w:cs="Arial"/>
              </w:rPr>
              <w:t>Change in 6MWD from baseline</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hAnsi="Cambria Math" w:cs="Cambria Math"/>
                <w:color w:val="C00000"/>
              </w:rPr>
              <w:t>⨀</w:t>
            </w:r>
            <w:r w:rsidRPr="00532B79">
              <w:rPr>
                <w:rFonts w:cs="Arial"/>
              </w:rPr>
              <w:t>)</w:t>
            </w:r>
          </w:p>
          <w:p w:rsidR="00321DBE" w:rsidRPr="00C743FC" w:rsidRDefault="00A765F3" w:rsidP="002E6D42">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Pr>
          <w:p w:rsidR="00321DBE" w:rsidRPr="00532B79" w:rsidRDefault="00321DBE" w:rsidP="00C21496">
            <w:pPr>
              <w:pStyle w:val="Tabletext"/>
              <w:rPr>
                <w:rFonts w:cs="Arial"/>
              </w:rPr>
            </w:pPr>
            <w:r w:rsidRPr="00532B79">
              <w:rPr>
                <w:rFonts w:cs="Arial"/>
              </w:rPr>
              <w:t>Change in QoL from baseline:</w:t>
            </w:r>
          </w:p>
          <w:p w:rsidR="00321DBE" w:rsidRPr="00532B79" w:rsidRDefault="00321DBE" w:rsidP="00C21496">
            <w:pPr>
              <w:pStyle w:val="Tabletext"/>
              <w:rPr>
                <w:rFonts w:cs="Arial"/>
              </w:rPr>
            </w:pPr>
            <w:r w:rsidRPr="00532B79">
              <w:rPr>
                <w:rFonts w:cs="Arial"/>
              </w:rPr>
              <w:t>EQ-5D</w:t>
            </w:r>
            <w:r w:rsidRPr="00532B79">
              <w:rPr>
                <w:rFonts w:cs="Arial"/>
                <w:vertAlign w:val="superscript"/>
              </w:rPr>
              <w:t>a</w:t>
            </w:r>
            <w:r w:rsidRPr="00532B79">
              <w:rPr>
                <w:rFonts w:cs="Arial"/>
              </w:rPr>
              <w:t xml:space="preserve">, </w:t>
            </w:r>
            <w:proofErr w:type="spellStart"/>
            <w:r w:rsidRPr="00532B79">
              <w:rPr>
                <w:rFonts w:cs="Arial"/>
              </w:rPr>
              <w:t>LPH</w:t>
            </w:r>
            <w:r w:rsidRPr="00532B79">
              <w:rPr>
                <w:rFonts w:cs="Arial"/>
                <w:vertAlign w:val="superscript"/>
              </w:rPr>
              <w:t>b</w:t>
            </w:r>
            <w:proofErr w:type="spellEnd"/>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N=167</w:t>
            </w:r>
          </w:p>
        </w:tc>
        <w:tc>
          <w:tcPr>
            <w:tcW w:w="3254" w:type="pct"/>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A765F3" w:rsidRDefault="00A765F3" w:rsidP="002E6D42">
            <w:pPr>
              <w:pStyle w:val="Tabletext"/>
              <w:spacing w:before="20" w:after="20"/>
              <w:ind w:left="227" w:hanging="227"/>
              <w:rPr>
                <w:rFonts w:cs="Arial"/>
                <w:highlight w:val="black"/>
              </w:rPr>
            </w:pP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C743FC" w:rsidRPr="009F466A" w:rsidTr="00C743FC">
        <w:tc>
          <w:tcPr>
            <w:tcW w:w="826" w:type="pct"/>
          </w:tcPr>
          <w:p w:rsidR="00321DBE" w:rsidRPr="00532B79" w:rsidRDefault="00321DBE" w:rsidP="00C21496">
            <w:pPr>
              <w:pStyle w:val="Tabletext"/>
              <w:rPr>
                <w:rFonts w:cs="Arial"/>
              </w:rPr>
            </w:pPr>
            <w:r w:rsidRPr="00532B79">
              <w:rPr>
                <w:rFonts w:cs="Arial"/>
              </w:rPr>
              <w:t>Change in haemodynamic parameters from baseline:</w:t>
            </w:r>
          </w:p>
          <w:p w:rsidR="00321DBE" w:rsidRPr="00532B79" w:rsidRDefault="00321DBE" w:rsidP="00C21496">
            <w:pPr>
              <w:pStyle w:val="Tabletext"/>
              <w:rPr>
                <w:rFonts w:cs="Arial"/>
              </w:rPr>
            </w:pPr>
            <w:r w:rsidRPr="00532B79">
              <w:rPr>
                <w:rFonts w:cs="Arial"/>
              </w:rPr>
              <w:t>PVR</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N=148</w:t>
            </w:r>
          </w:p>
        </w:tc>
        <w:tc>
          <w:tcPr>
            <w:tcW w:w="3254" w:type="pct"/>
          </w:tcPr>
          <w:p w:rsidR="00321DBE" w:rsidRPr="00532B79" w:rsidRDefault="00321DBE" w:rsidP="00C743FC">
            <w:pPr>
              <w:pStyle w:val="Tabletext"/>
              <w:numPr>
                <w:ilvl w:val="0"/>
                <w:numId w:val="20"/>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hAnsi="Cambria Math" w:cs="Cambria Math"/>
                <w:color w:val="C00000"/>
              </w:rPr>
              <w:t>⨀⨀</w:t>
            </w:r>
            <w:r w:rsidRPr="00532B79">
              <w:rPr>
                <w:rFonts w:cs="Arial"/>
              </w:rPr>
              <w:t>)</w:t>
            </w:r>
          </w:p>
          <w:p w:rsidR="00321DBE" w:rsidRPr="00C743FC" w:rsidRDefault="00A765F3" w:rsidP="00C743FC">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5000" w:type="pct"/>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743FC">
            <w:pPr>
              <w:pStyle w:val="Tabletext"/>
              <w:keepNext/>
              <w:rPr>
                <w:rFonts w:cs="Arial"/>
              </w:rPr>
            </w:pPr>
            <w:r w:rsidRPr="00532B79">
              <w:rPr>
                <w:rFonts w:cs="Arial"/>
              </w:rPr>
              <w:t>Patients with WHO FC III/IV PAH</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Clinical worsening</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(riociguat/ERA)</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C743FC" w:rsidRDefault="00A765F3" w:rsidP="00C743FC">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All-cause mortality</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A765F3" w:rsidRDefault="00A765F3" w:rsidP="00C743FC">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Hospitalisation due to worsening PAH</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C743FC" w:rsidRDefault="00A765F3" w:rsidP="00C743FC">
            <w:pPr>
              <w:pStyle w:val="Tabletext"/>
              <w:numPr>
                <w:ilvl w:val="0"/>
                <w:numId w:val="21"/>
              </w:numPr>
              <w:spacing w:before="20" w:after="20"/>
              <w:ind w:left="227" w:hanging="227"/>
              <w:rPr>
                <w:rFonts w:cs="Arial"/>
                <w:sz w:val="16"/>
                <w:szCs w:val="16"/>
              </w:rPr>
            </w:pPr>
            <w:r w:rsidRPr="00C743FC">
              <w:rPr>
                <w:rFonts w:cs="Arial"/>
                <w:noProof/>
                <w:color w:val="000000"/>
                <w:sz w:val="16"/>
                <w:szCs w:val="16"/>
                <w:highlight w:val="black"/>
              </w:rPr>
              <w:t>'''''''''''''''' '''''''''''''''''' ''''''''''' ''''''''''''''''''''''''''' ''''''''' ''''''''''''''''''''''''''' ''''''''''''''''''' ''''''''''''''''''''''' ''''''''' ''''''''''''''''''''''''''''' ''''''''''''' '''''''''' ''''''''' '''''' '''''' '''''''''''' ''''' ''''''' '''''''''''''''''''' ''''''''''''''''''' ''''''''''' ''' ''''''''''' '''''''''''' '''''' ''''''''''' ''''''''''</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Improved WHO FC</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C00000"/>
              </w:rPr>
              <w:t>⨀</w:t>
            </w:r>
            <w:r w:rsidRPr="00532B79">
              <w:rPr>
                <w:rFonts w:cs="Arial"/>
              </w:rPr>
              <w:t>)</w:t>
            </w:r>
          </w:p>
          <w:p w:rsidR="00321DBE" w:rsidRPr="00A765F3" w:rsidRDefault="00A765F3" w:rsidP="00C743FC">
            <w:pPr>
              <w:pStyle w:val="Tabletext"/>
              <w:spacing w:before="20" w:after="20"/>
              <w:ind w:left="227" w:hanging="227"/>
              <w:rPr>
                <w:rFonts w:cs="Arial"/>
                <w:highlight w:val="black"/>
              </w:rPr>
            </w:pP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Worsened WHO FC</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C743FC" w:rsidRDefault="00A765F3" w:rsidP="00C743FC">
            <w:pPr>
              <w:pStyle w:val="Tablet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Change in 6MWD</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rPr>
                <w:rFonts w:cs="Arial"/>
              </w:rPr>
            </w:pPr>
            <w:r w:rsidRPr="00532B79">
              <w:rPr>
                <w:rFonts w:cs="Arial"/>
              </w:rPr>
              <w:t>N=120</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A765F3" w:rsidRDefault="00A765F3" w:rsidP="002E6D42">
            <w:pPr>
              <w:pStyle w:val="Tabletext"/>
              <w:spacing w:before="20" w:after="20"/>
              <w:ind w:left="227" w:hanging="227"/>
              <w:rPr>
                <w:rFonts w:cs="Arial"/>
                <w:highlight w:val="black"/>
              </w:rPr>
            </w:pP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keepNext/>
              <w:rPr>
                <w:rFonts w:cs="Arial"/>
              </w:rPr>
            </w:pPr>
            <w:r w:rsidRPr="00532B79">
              <w:rPr>
                <w:rFonts w:cs="Arial"/>
              </w:rPr>
              <w:lastRenderedPageBreak/>
              <w:t>Change in QoL:</w:t>
            </w:r>
          </w:p>
          <w:p w:rsidR="00321DBE" w:rsidRPr="00532B79" w:rsidRDefault="00321DBE" w:rsidP="00C21496">
            <w:pPr>
              <w:pStyle w:val="Tabletext"/>
              <w:keepNext/>
              <w:rPr>
                <w:rFonts w:cs="Arial"/>
                <w:vertAlign w:val="superscript"/>
              </w:rPr>
            </w:pPr>
            <w:r w:rsidRPr="00532B79">
              <w:rPr>
                <w:rFonts w:cs="Arial"/>
              </w:rPr>
              <w:t>EQ-5D</w:t>
            </w:r>
            <w:r w:rsidRPr="00532B79">
              <w:rPr>
                <w:rFonts w:cs="Arial"/>
                <w:vertAlign w:val="superscript"/>
              </w:rPr>
              <w:t>a</w:t>
            </w:r>
            <w:r w:rsidRPr="00532B79">
              <w:rPr>
                <w:rFonts w:cs="Arial"/>
              </w:rPr>
              <w:t xml:space="preserve">, </w:t>
            </w:r>
            <w:proofErr w:type="spellStart"/>
            <w:r w:rsidRPr="00532B79">
              <w:rPr>
                <w:rFonts w:cs="Arial"/>
              </w:rPr>
              <w:t>LPH</w:t>
            </w:r>
            <w:r w:rsidRPr="00532B79">
              <w:rPr>
                <w:rFonts w:cs="Arial"/>
                <w:vertAlign w:val="superscript"/>
              </w:rPr>
              <w:t>b</w:t>
            </w:r>
            <w:proofErr w:type="spellEnd"/>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(riociguat/ERA) </w:t>
            </w:r>
          </w:p>
          <w:p w:rsidR="00321DBE" w:rsidRPr="00532B79" w:rsidRDefault="00321DBE" w:rsidP="00C21496">
            <w:pPr>
              <w:pStyle w:val="Tabletext"/>
              <w:keepNext/>
              <w:rPr>
                <w:rFonts w:cs="Arial"/>
              </w:rPr>
            </w:pPr>
            <w:r w:rsidRPr="00532B79">
              <w:rPr>
                <w:rFonts w:cs="Arial"/>
              </w:rPr>
              <w:t>N=120</w:t>
            </w:r>
          </w:p>
        </w:tc>
        <w:tc>
          <w:tcPr>
            <w:tcW w:w="3254" w:type="pct"/>
          </w:tcPr>
          <w:p w:rsidR="00321DBE" w:rsidRPr="00532B79" w:rsidRDefault="00321DBE" w:rsidP="00C743FC">
            <w:pPr>
              <w:pStyle w:val="Tabletext"/>
              <w:keepNext/>
              <w:numPr>
                <w:ilvl w:val="0"/>
                <w:numId w:val="21"/>
              </w:numPr>
              <w:spacing w:before="20" w:after="20"/>
              <w:ind w:left="227" w:hanging="227"/>
              <w:rPr>
                <w:rFonts w:cs="Arial"/>
              </w:rPr>
            </w:pPr>
            <w:r w:rsidRPr="00532B79">
              <w:rPr>
                <w:rFonts w:cs="Arial"/>
              </w:rPr>
              <w:t xml:space="preserve">High quality evidence (GRADE </w:t>
            </w:r>
            <w:r w:rsidRPr="00532B79">
              <w:rPr>
                <w:rFonts w:ascii="Cambria Math" w:hAnsi="Cambria Math" w:cs="Cambria Math"/>
                <w:color w:val="00B050"/>
              </w:rPr>
              <w:t>⨁⨁⨁⨁</w:t>
            </w:r>
            <w:r w:rsidRPr="00532B79">
              <w:rPr>
                <w:rFonts w:cs="Arial"/>
              </w:rPr>
              <w:t>)</w:t>
            </w:r>
          </w:p>
          <w:p w:rsidR="00321DBE" w:rsidRPr="00C743FC" w:rsidRDefault="00A765F3" w:rsidP="002E6D42">
            <w:pPr>
              <w:pStyle w:val="Tabletext"/>
              <w:keepNext/>
              <w:spacing w:before="20" w:after="20"/>
              <w:ind w:left="227" w:hanging="227"/>
              <w:rPr>
                <w:rFonts w:cs="Arial"/>
                <w:sz w:val="16"/>
                <w:szCs w:val="16"/>
                <w:highlight w:val="black"/>
              </w:rPr>
            </w:pP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r w:rsidR="00321DBE" w:rsidRPr="009F466A" w:rsidTr="00C743FC">
        <w:tc>
          <w:tcPr>
            <w:tcW w:w="826" w:type="pct"/>
          </w:tcPr>
          <w:p w:rsidR="00321DBE" w:rsidRPr="00532B79" w:rsidRDefault="00321DBE" w:rsidP="00C21496">
            <w:pPr>
              <w:pStyle w:val="Tabletext"/>
              <w:rPr>
                <w:rFonts w:cs="Arial"/>
              </w:rPr>
            </w:pPr>
            <w:r w:rsidRPr="00532B79">
              <w:rPr>
                <w:rFonts w:cs="Arial"/>
              </w:rPr>
              <w:t>Change in haemodynamic parameters:</w:t>
            </w:r>
          </w:p>
          <w:p w:rsidR="00321DBE" w:rsidRPr="00532B79" w:rsidRDefault="00321DBE" w:rsidP="00C21496">
            <w:pPr>
              <w:pStyle w:val="Tabletext"/>
              <w:rPr>
                <w:rFonts w:cs="Arial"/>
              </w:rPr>
            </w:pPr>
            <w:r w:rsidRPr="00532B79">
              <w:rPr>
                <w:rFonts w:cs="Arial"/>
              </w:rPr>
              <w:t>PVR</w:t>
            </w:r>
          </w:p>
        </w:tc>
        <w:tc>
          <w:tcPr>
            <w:tcW w:w="920" w:type="pct"/>
          </w:tcPr>
          <w:p w:rsidR="00321DBE" w:rsidRPr="00532B79" w:rsidRDefault="00321DBE" w:rsidP="00C21496">
            <w:pPr>
              <w:pStyle w:val="Tabletext"/>
              <w:rPr>
                <w:rFonts w:cs="Arial"/>
              </w:rPr>
            </w:pPr>
            <w:r w:rsidRPr="00532B79">
              <w:rPr>
                <w:rFonts w:cs="Arial"/>
              </w:rPr>
              <w:t>PATENT-1</w:t>
            </w:r>
            <w:r w:rsidRPr="00532B79">
              <w:rPr>
                <w:rFonts w:cs="Arial"/>
              </w:rPr>
              <w:br/>
              <w:t>(riociguat/ERA)</w:t>
            </w:r>
          </w:p>
          <w:p w:rsidR="00321DBE" w:rsidRPr="00532B79" w:rsidRDefault="00321DBE" w:rsidP="00C21496">
            <w:pPr>
              <w:pStyle w:val="Tabletext"/>
              <w:rPr>
                <w:rFonts w:cs="Arial"/>
              </w:rPr>
            </w:pPr>
            <w:r w:rsidRPr="00532B79">
              <w:rPr>
                <w:rFonts w:cs="Arial"/>
              </w:rPr>
              <w:t>N=103</w:t>
            </w:r>
          </w:p>
        </w:tc>
        <w:tc>
          <w:tcPr>
            <w:tcW w:w="3254" w:type="pct"/>
          </w:tcPr>
          <w:p w:rsidR="00321DBE" w:rsidRPr="00532B79" w:rsidRDefault="00321DBE" w:rsidP="00C743FC">
            <w:pPr>
              <w:pStyle w:val="Tabletext"/>
              <w:numPr>
                <w:ilvl w:val="0"/>
                <w:numId w:val="21"/>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hAnsi="Cambria Math" w:cs="Cambria Math"/>
                <w:color w:val="C00000"/>
              </w:rPr>
              <w:t>⨀</w:t>
            </w:r>
            <w:r w:rsidRPr="00532B79">
              <w:rPr>
                <w:rFonts w:cs="Arial"/>
              </w:rPr>
              <w:t>)</w:t>
            </w:r>
          </w:p>
          <w:p w:rsidR="00321DBE" w:rsidRPr="00A765F3" w:rsidRDefault="00A765F3" w:rsidP="00C743FC">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r w:rsidRPr="00C743FC">
              <w:rPr>
                <w:rFonts w:ascii="Symbol" w:hAnsi="Symbol" w:cs="Arial"/>
                <w:noProof/>
                <w:color w:val="000000"/>
                <w:sz w:val="16"/>
                <w:szCs w:val="16"/>
                <w:highlight w:val="black"/>
              </w:rPr>
              <w:t></w:t>
            </w:r>
          </w:p>
        </w:tc>
      </w:tr>
    </w:tbl>
    <w:p w:rsidR="00321DBE" w:rsidRPr="00532B79" w:rsidRDefault="00321DBE" w:rsidP="00C21496">
      <w:pPr>
        <w:pStyle w:val="Tablenote"/>
        <w:jc w:val="left"/>
        <w:rPr>
          <w:rFonts w:cs="Arial"/>
        </w:rPr>
      </w:pPr>
      <w:proofErr w:type="gramStart"/>
      <w:r w:rsidRPr="00532B79">
        <w:rPr>
          <w:rFonts w:cs="Arial"/>
          <w:vertAlign w:val="superscript"/>
        </w:rPr>
        <w:t>a</w:t>
      </w:r>
      <w:proofErr w:type="gramEnd"/>
      <w:r w:rsidRPr="00532B79">
        <w:rPr>
          <w:rFonts w:cs="Arial"/>
          <w:vertAlign w:val="superscript"/>
        </w:rPr>
        <w:t xml:space="preserve"> </w:t>
      </w:r>
      <w:r w:rsidRPr="00532B79">
        <w:rPr>
          <w:rFonts w:cs="Arial"/>
        </w:rPr>
        <w:t>EQ-5D utility scores range from −0.59 to 1.00. A higher score represents better QoL.</w:t>
      </w:r>
    </w:p>
    <w:p w:rsidR="00321DBE" w:rsidRPr="00532B79" w:rsidRDefault="00321DBE" w:rsidP="00C21496">
      <w:pPr>
        <w:pStyle w:val="Tablenote"/>
        <w:jc w:val="left"/>
        <w:rPr>
          <w:rFonts w:cs="Arial"/>
        </w:rPr>
      </w:pPr>
      <w:proofErr w:type="gramStart"/>
      <w:r w:rsidRPr="00532B79">
        <w:rPr>
          <w:rFonts w:cs="Arial"/>
          <w:vertAlign w:val="superscript"/>
        </w:rPr>
        <w:t>b</w:t>
      </w:r>
      <w:proofErr w:type="gramEnd"/>
      <w:r w:rsidRPr="00532B79">
        <w:rPr>
          <w:rFonts w:cs="Arial"/>
          <w:vertAlign w:val="superscript"/>
        </w:rPr>
        <w:t xml:space="preserve"> </w:t>
      </w:r>
      <w:r w:rsidRPr="00532B79">
        <w:rPr>
          <w:rFonts w:cs="Arial"/>
        </w:rPr>
        <w:t>LPH total scores range from 0 to 105. A higher score indicates poorer QoL.</w:t>
      </w:r>
    </w:p>
    <w:p w:rsidR="00321DBE" w:rsidRPr="00532B79" w:rsidRDefault="00321DBE" w:rsidP="00C21496">
      <w:pPr>
        <w:pStyle w:val="Tablenote"/>
        <w:jc w:val="left"/>
        <w:rPr>
          <w:rFonts w:cs="Arial"/>
        </w:rPr>
      </w:pPr>
      <w:r w:rsidRPr="00532B79">
        <w:rPr>
          <w:rFonts w:cs="Arial"/>
        </w:rPr>
        <w:t xml:space="preserve">6MWD = 6-minute walk distance; ARD = absolute risk difference; CI = confidence interval; EQ-5D = </w:t>
      </w:r>
      <w:proofErr w:type="spellStart"/>
      <w:r w:rsidRPr="00532B79">
        <w:rPr>
          <w:rFonts w:cs="Arial"/>
        </w:rPr>
        <w:t>EuroQol</w:t>
      </w:r>
      <w:proofErr w:type="spellEnd"/>
      <w:r w:rsidRPr="00532B79">
        <w:rPr>
          <w:rFonts w:cs="Arial"/>
        </w:rPr>
        <w:t xml:space="preserve"> 5 dimension; ERA = endothelin receptor antagonist; FC = functional class; GRADE = grading of recommendations assessment, development and evaluation</w:t>
      </w:r>
      <w:r w:rsidRPr="00532B79">
        <w:rPr>
          <w:rFonts w:cs="Arial"/>
          <w:noProof/>
          <w:vertAlign w:val="superscript"/>
        </w:rPr>
        <w:t>1</w:t>
      </w:r>
      <w:r w:rsidRPr="00532B79">
        <w:rPr>
          <w:rFonts w:cs="Arial"/>
        </w:rPr>
        <w:t>; LPH = living with pulmonary hypertension; MD = mean difference; PAH = pulmonary arterial hypertension; PVR = pulmonary vascular resistance; QoL = quality of life; RR = relative risk; sGC = soluble guanylate cyclase stimulator; WHO = World Health Organization</w:t>
      </w:r>
    </w:p>
    <w:p w:rsidR="0016033A" w:rsidRPr="0016033A" w:rsidRDefault="0016033A" w:rsidP="00C21496">
      <w:pPr>
        <w:pStyle w:val="Heading5"/>
        <w:numPr>
          <w:ilvl w:val="0"/>
          <w:numId w:val="0"/>
        </w:numPr>
        <w:ind w:left="1008" w:hanging="1008"/>
        <w:jc w:val="left"/>
        <w:rPr>
          <w:color w:val="auto"/>
          <w:u w:val="single"/>
        </w:rPr>
      </w:pPr>
      <w:r w:rsidRPr="0016033A">
        <w:rPr>
          <w:color w:val="auto"/>
          <w:u w:val="single"/>
        </w:rPr>
        <w:t>Safety</w:t>
      </w:r>
    </w:p>
    <w:p w:rsidR="0016033A" w:rsidRDefault="0016033A" w:rsidP="00C21496">
      <w:pPr>
        <w:jc w:val="left"/>
      </w:pPr>
      <w:r w:rsidRPr="00944958">
        <w:t xml:space="preserve">There </w:t>
      </w:r>
      <w:r>
        <w:t>is no</w:t>
      </w:r>
      <w:r w:rsidRPr="00944958">
        <w:t xml:space="preserve"> evidence </w:t>
      </w:r>
      <w:r w:rsidRPr="00457FA6">
        <w:t xml:space="preserve">to evaluate the comparative safety </w:t>
      </w:r>
      <w:r w:rsidRPr="00944958">
        <w:t xml:space="preserve">of a </w:t>
      </w:r>
      <w:r w:rsidRPr="00074323">
        <w:t>sGC stimulator in addition to an ERA, relative to ERA monotherapy</w:t>
      </w:r>
      <w:r>
        <w:t>,</w:t>
      </w:r>
      <w:r w:rsidRPr="00074323">
        <w:t xml:space="preserve"> </w:t>
      </w:r>
      <w:r>
        <w:t xml:space="preserve">when used </w:t>
      </w:r>
      <w:r w:rsidRPr="00944958">
        <w:t>to treat patients with PAH.</w:t>
      </w:r>
    </w:p>
    <w:p w:rsidR="00321DBE" w:rsidRPr="009F466A" w:rsidRDefault="00321DBE" w:rsidP="00C21496">
      <w:pPr>
        <w:pStyle w:val="Heading4"/>
      </w:pPr>
      <w:proofErr w:type="gramStart"/>
      <w:r w:rsidRPr="009F466A">
        <w:t>sGC</w:t>
      </w:r>
      <w:proofErr w:type="gramEnd"/>
      <w:r w:rsidRPr="009F466A">
        <w:t xml:space="preserve"> stimulator in addition to a PDE-5 inhibitor</w:t>
      </w:r>
    </w:p>
    <w:p w:rsidR="0016033A" w:rsidRPr="0016033A" w:rsidRDefault="0016033A" w:rsidP="00C21496">
      <w:pPr>
        <w:pStyle w:val="Heading5"/>
        <w:keepLines w:val="0"/>
        <w:numPr>
          <w:ilvl w:val="0"/>
          <w:numId w:val="0"/>
        </w:numPr>
        <w:spacing w:before="240"/>
        <w:jc w:val="left"/>
        <w:rPr>
          <w:color w:val="auto"/>
          <w:u w:val="single"/>
        </w:rPr>
      </w:pPr>
      <w:bookmarkStart w:id="119" w:name="_Ref506206420"/>
      <w:bookmarkStart w:id="120" w:name="_Toc508396849"/>
      <w:r w:rsidRPr="0016033A">
        <w:rPr>
          <w:color w:val="auto"/>
          <w:u w:val="single"/>
        </w:rPr>
        <w:t>Clinical effectiveness</w:t>
      </w:r>
    </w:p>
    <w:p w:rsidR="0016033A" w:rsidRPr="00C77B6A" w:rsidRDefault="0016033A" w:rsidP="00C21496">
      <w:pPr>
        <w:spacing w:after="40"/>
        <w:jc w:val="left"/>
      </w:pPr>
      <w:r>
        <w:t xml:space="preserve">One </w:t>
      </w:r>
      <w:r w:rsidRPr="00C77B6A">
        <w:t xml:space="preserve">RCT reported on the effectiveness of a </w:t>
      </w:r>
      <w:r w:rsidRPr="00986739">
        <w:t xml:space="preserve">sGC stimulator </w:t>
      </w:r>
      <w:r w:rsidRPr="00C77B6A">
        <w:t xml:space="preserve">in addition to </w:t>
      </w:r>
      <w:r w:rsidRPr="00986739">
        <w:t>PDE-5 inhibitor</w:t>
      </w:r>
      <w:r w:rsidRPr="00C77B6A">
        <w:t xml:space="preserve"> in treating PAH </w:t>
      </w:r>
      <w:r>
        <w:t xml:space="preserve">when </w:t>
      </w:r>
      <w:r w:rsidRPr="00C77B6A">
        <w:t>compared with place</w:t>
      </w:r>
      <w:r>
        <w:t xml:space="preserve">bo plus a </w:t>
      </w:r>
      <w:r w:rsidRPr="00986739">
        <w:t>PDE-5 inhibitor</w:t>
      </w:r>
      <w:r>
        <w:t>:</w:t>
      </w:r>
    </w:p>
    <w:p w:rsidR="0016033A" w:rsidRPr="00D103A9" w:rsidRDefault="0016033A" w:rsidP="00C21496">
      <w:pPr>
        <w:pStyle w:val="Bullettext"/>
        <w:ind w:left="720"/>
        <w:rPr>
          <w:bCs/>
        </w:rPr>
      </w:pPr>
      <w:r>
        <w:t>PATENT-PLUS</w:t>
      </w:r>
      <w:r w:rsidRPr="00C77B6A">
        <w:t xml:space="preserve"> enrolled </w:t>
      </w:r>
      <w:r>
        <w:t xml:space="preserve">WHO FC III/IV PAH patients </w:t>
      </w:r>
      <w:r w:rsidRPr="00986739">
        <w:t xml:space="preserve">receiving stable sildenafil therapy to </w:t>
      </w:r>
      <w:r>
        <w:t xml:space="preserve">additional </w:t>
      </w:r>
      <w:r w:rsidRPr="00986739">
        <w:t xml:space="preserve">receive </w:t>
      </w:r>
      <w:r>
        <w:t xml:space="preserve">either </w:t>
      </w:r>
      <w:r w:rsidRPr="00986739">
        <w:t>riociguat or placebo</w:t>
      </w:r>
      <w:r>
        <w:t>.</w:t>
      </w:r>
    </w:p>
    <w:p w:rsidR="0016033A" w:rsidRPr="00D103A9" w:rsidRDefault="0016033A" w:rsidP="00C21496">
      <w:pPr>
        <w:pStyle w:val="Bullettext"/>
        <w:ind w:left="720"/>
        <w:rPr>
          <w:bCs/>
        </w:rPr>
      </w:pPr>
      <w:r>
        <w:t>No subgroup analyses were performed.</w:t>
      </w:r>
    </w:p>
    <w:p w:rsidR="0016033A" w:rsidRDefault="0016033A" w:rsidP="00C21496">
      <w:pPr>
        <w:jc w:val="left"/>
      </w:pPr>
      <w:r>
        <w:t xml:space="preserve">The evidence provided by this trial is summarised in </w:t>
      </w:r>
      <w:r w:rsidR="00CC79E1">
        <w:t>Table ES.</w:t>
      </w:r>
      <w:r w:rsidR="00CC79E1">
        <w:rPr>
          <w:noProof/>
        </w:rPr>
        <w:t>20</w:t>
      </w:r>
      <w:r>
        <w:t>.</w:t>
      </w:r>
    </w:p>
    <w:p w:rsidR="0016033A" w:rsidRDefault="0016033A" w:rsidP="00C21496">
      <w:pPr>
        <w:jc w:val="left"/>
      </w:pPr>
      <w:r>
        <w:t xml:space="preserve">Overall, </w:t>
      </w:r>
      <w:r w:rsidRPr="00944958">
        <w:t xml:space="preserve">there is </w:t>
      </w:r>
      <w:r>
        <w:t>insufficient</w:t>
      </w:r>
      <w:r w:rsidRPr="00944958">
        <w:t xml:space="preserve"> evidence</w:t>
      </w:r>
      <w:r w:rsidRPr="000522D6">
        <w:t xml:space="preserve"> </w:t>
      </w:r>
      <w:r>
        <w:t>to determine</w:t>
      </w:r>
      <w:r w:rsidRPr="000522D6">
        <w:t xml:space="preserve"> whether </w:t>
      </w:r>
      <w:r>
        <w:t xml:space="preserve">the </w:t>
      </w:r>
      <w:r w:rsidRPr="006316DF">
        <w:t xml:space="preserve">use of a </w:t>
      </w:r>
      <w:r w:rsidRPr="00DC1C45">
        <w:t>sGC stimulator</w:t>
      </w:r>
      <w:r w:rsidRPr="00D00AC2">
        <w:t xml:space="preserve"> in addition to a </w:t>
      </w:r>
      <w:r w:rsidRPr="00944958">
        <w:t>PDE-5 inhibitor</w:t>
      </w:r>
      <w:r w:rsidRPr="000522D6">
        <w:t xml:space="preserve">, relative to </w:t>
      </w:r>
      <w:r w:rsidRPr="00944958">
        <w:t xml:space="preserve">PDE-5 inhibitor </w:t>
      </w:r>
      <w:r w:rsidRPr="000522D6">
        <w:t>monotherapy</w:t>
      </w:r>
      <w:r>
        <w:t>,</w:t>
      </w:r>
      <w:r w:rsidRPr="000522D6">
        <w:t xml:space="preserve"> </w:t>
      </w:r>
      <w:r w:rsidRPr="006316DF">
        <w:t>is likely to be beneficial</w:t>
      </w:r>
      <w:r>
        <w:t xml:space="preserve"> for PAH</w:t>
      </w:r>
      <w:r w:rsidRPr="006316DF">
        <w:t>.</w:t>
      </w:r>
    </w:p>
    <w:p w:rsidR="009E5A8D" w:rsidRPr="009F466A" w:rsidRDefault="009E5A8D" w:rsidP="00C21496">
      <w:pPr>
        <w:pStyle w:val="Caption"/>
        <w:jc w:val="left"/>
      </w:pPr>
      <w:bookmarkStart w:id="121" w:name="_Ref511118899"/>
      <w:bookmarkStart w:id="122" w:name="_Toc513108464"/>
      <w:bookmarkEnd w:id="119"/>
      <w:bookmarkEnd w:id="120"/>
      <w:r>
        <w:t>Table ES.</w:t>
      </w:r>
      <w:r w:rsidR="00CC79E1">
        <w:rPr>
          <w:noProof/>
        </w:rPr>
        <w:t>20</w:t>
      </w:r>
      <w:bookmarkEnd w:id="121"/>
      <w:r>
        <w:tab/>
      </w:r>
      <w:r w:rsidRPr="009F466A">
        <w:t>Summary of the evidence for the clinical effectiveness of a sGC stimulator in addition to a PDE-5 inhibitor, relative to PDE-5 inhibitor monotherapy</w:t>
      </w:r>
      <w:bookmarkEnd w:id="122"/>
    </w:p>
    <w:tbl>
      <w:tblPr>
        <w:tblStyle w:val="TableGrid"/>
        <w:tblW w:w="9634" w:type="dxa"/>
        <w:tblLook w:val="04A0" w:firstRow="1" w:lastRow="0" w:firstColumn="1" w:lastColumn="0" w:noHBand="0" w:noVBand="1"/>
        <w:tblCaption w:val="Summary of the evidence for the clinical effectiveness of a sGC stimulator in addition to a PDE-5 inhibitor, relative to PDE-5 inhibitor monotherapy"/>
      </w:tblPr>
      <w:tblGrid>
        <w:gridCol w:w="1555"/>
        <w:gridCol w:w="1984"/>
        <w:gridCol w:w="6095"/>
      </w:tblGrid>
      <w:tr w:rsidR="00321DBE" w:rsidRPr="009F466A"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 xml:space="preserve">Included trials </w:t>
            </w:r>
          </w:p>
          <w:p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Summary of evidence</w:t>
            </w:r>
          </w:p>
        </w:tc>
      </w:tr>
      <w:tr w:rsidR="00321DBE" w:rsidRPr="009F466A"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rPr>
                <w:rFonts w:cs="Arial"/>
              </w:rPr>
            </w:pPr>
            <w:r w:rsidRPr="00532B79">
              <w:rPr>
                <w:rFonts w:cs="Arial"/>
              </w:rPr>
              <w:t>Patients with WHO FC III/IV PAH</w:t>
            </w:r>
          </w:p>
        </w:tc>
      </w:tr>
      <w:tr w:rsidR="00321DBE" w:rsidRPr="009F466A" w:rsidTr="00321DBE">
        <w:tc>
          <w:tcPr>
            <w:tcW w:w="1555" w:type="dxa"/>
          </w:tcPr>
          <w:p w:rsidR="00321DBE" w:rsidRPr="00532B79" w:rsidRDefault="00321DBE" w:rsidP="00C21496">
            <w:pPr>
              <w:pStyle w:val="Tabletext"/>
              <w:rPr>
                <w:rFonts w:cs="Arial"/>
              </w:rPr>
            </w:pPr>
            <w:r w:rsidRPr="00532B79">
              <w:rPr>
                <w:rFonts w:cs="Arial"/>
              </w:rPr>
              <w:t>All-cause mortality</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PATENT-PLUS (riociguat/sildenafil)</w:t>
            </w:r>
          </w:p>
          <w:p w:rsidR="00321DBE" w:rsidRPr="00532B79" w:rsidRDefault="00321DBE" w:rsidP="00C21496">
            <w:pPr>
              <w:pStyle w:val="Tabletext"/>
              <w:rPr>
                <w:rFonts w:cs="Arial"/>
              </w:rPr>
            </w:pPr>
            <w:r w:rsidRPr="00532B79">
              <w:rPr>
                <w:rFonts w:cs="Arial"/>
              </w:rPr>
              <w:t>N=18</w:t>
            </w:r>
          </w:p>
        </w:tc>
        <w:tc>
          <w:tcPr>
            <w:tcW w:w="6095" w:type="dxa"/>
          </w:tcPr>
          <w:p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532B79" w:rsidRDefault="00321DBE" w:rsidP="001960CE">
            <w:pPr>
              <w:pStyle w:val="Tabletext"/>
              <w:numPr>
                <w:ilvl w:val="0"/>
                <w:numId w:val="22"/>
              </w:numPr>
              <w:spacing w:before="20" w:after="20"/>
              <w:ind w:left="227" w:hanging="227"/>
              <w:rPr>
                <w:rFonts w:cs="Arial"/>
              </w:rPr>
            </w:pPr>
            <w:r w:rsidRPr="00532B79">
              <w:rPr>
                <w:rFonts w:cs="Arial"/>
              </w:rPr>
              <w:t>No patients died during the study period</w:t>
            </w:r>
          </w:p>
        </w:tc>
      </w:tr>
      <w:tr w:rsidR="00321DBE" w:rsidRPr="009F466A"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Improved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lastRenderedPageBreak/>
              <w:t>N=18</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22"/>
              </w:numPr>
              <w:spacing w:before="20" w:after="20"/>
              <w:ind w:left="227" w:hanging="227"/>
              <w:rPr>
                <w:rFonts w:cs="Arial"/>
              </w:rPr>
            </w:pPr>
            <w:r w:rsidRPr="00532B79">
              <w:rPr>
                <w:rFonts w:cs="Arial"/>
              </w:rPr>
              <w:lastRenderedPageBreak/>
              <w:t xml:space="preserve">Low quality evidence (GRADE </w:t>
            </w:r>
            <w:r w:rsidRPr="00532B79">
              <w:rPr>
                <w:rFonts w:ascii="Cambria Math" w:hAnsi="Cambria Math" w:cs="Cambria Math"/>
                <w:color w:val="00B050"/>
              </w:rPr>
              <w:t>⨁⨁</w:t>
            </w:r>
            <w:r w:rsidRPr="00532B79">
              <w:rPr>
                <w:rFonts w:ascii="Cambria Math" w:hAnsi="Cambria Math" w:cs="Cambria Math"/>
                <w:bCs/>
                <w:color w:val="FF0000"/>
              </w:rPr>
              <w:t>⨀</w:t>
            </w:r>
            <w:r w:rsidRPr="00532B79">
              <w:rPr>
                <w:rFonts w:ascii="Cambria Math" w:hAnsi="Cambria Math" w:cs="Cambria Math"/>
                <w:color w:val="FF0000"/>
              </w:rPr>
              <w:t>⨀</w:t>
            </w:r>
            <w:r w:rsidRPr="00532B79">
              <w:rPr>
                <w:rFonts w:cs="Arial"/>
              </w:rPr>
              <w:t>)</w:t>
            </w:r>
          </w:p>
          <w:p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Fewer patients improved their WHO FC with combination </w:t>
            </w:r>
            <w:r w:rsidRPr="00532B79">
              <w:rPr>
                <w:rFonts w:cs="Arial"/>
              </w:rPr>
              <w:lastRenderedPageBreak/>
              <w:t>therapy compared with monotherapy, but the wide 95% CI indicates that the study was underpowered for this outcome (RR = 0.50; 95% CI 0.09, 2.73)</w:t>
            </w:r>
          </w:p>
        </w:tc>
      </w:tr>
      <w:tr w:rsidR="00321DBE" w:rsidRPr="009F466A" w:rsidTr="00321DBE">
        <w:tc>
          <w:tcPr>
            <w:tcW w:w="1555" w:type="dxa"/>
          </w:tcPr>
          <w:p w:rsidR="00321DBE" w:rsidRPr="00532B79" w:rsidRDefault="00321DBE" w:rsidP="00C21496">
            <w:pPr>
              <w:pStyle w:val="Tabletext"/>
              <w:rPr>
                <w:rFonts w:cs="Arial"/>
              </w:rPr>
            </w:pPr>
            <w:r w:rsidRPr="00532B79">
              <w:rPr>
                <w:rFonts w:cs="Arial"/>
              </w:rPr>
              <w:lastRenderedPageBreak/>
              <w:t>Worsened WHO FC</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t>N=18</w:t>
            </w:r>
          </w:p>
        </w:tc>
        <w:tc>
          <w:tcPr>
            <w:tcW w:w="6095" w:type="dxa"/>
          </w:tcPr>
          <w:p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532B79" w:rsidRDefault="00321DBE" w:rsidP="001960CE">
            <w:pPr>
              <w:pStyle w:val="Tabletext"/>
              <w:numPr>
                <w:ilvl w:val="0"/>
                <w:numId w:val="22"/>
              </w:numPr>
              <w:spacing w:before="20" w:after="20"/>
              <w:ind w:left="227" w:hanging="227"/>
              <w:rPr>
                <w:rFonts w:cs="Arial"/>
              </w:rPr>
            </w:pPr>
            <w:r w:rsidRPr="00532B79">
              <w:rPr>
                <w:rFonts w:cs="Arial"/>
              </w:rPr>
              <w:t>No patients had worsening of their WHO FC during the study period</w:t>
            </w:r>
          </w:p>
        </w:tc>
      </w:tr>
      <w:tr w:rsidR="00321DBE" w:rsidRPr="009F466A" w:rsidTr="00321DBE">
        <w:tc>
          <w:tcPr>
            <w:tcW w:w="1555" w:type="dxa"/>
          </w:tcPr>
          <w:p w:rsidR="00321DBE" w:rsidRPr="00532B79" w:rsidRDefault="00321DBE" w:rsidP="00C21496">
            <w:pPr>
              <w:pStyle w:val="Tabletext"/>
              <w:rPr>
                <w:rFonts w:cs="Arial"/>
              </w:rPr>
            </w:pPr>
            <w:r w:rsidRPr="00532B79">
              <w:rPr>
                <w:rFonts w:cs="Arial"/>
              </w:rPr>
              <w:t>Change in 6MWD from baseline</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t>N=18</w:t>
            </w:r>
          </w:p>
        </w:tc>
        <w:tc>
          <w:tcPr>
            <w:tcW w:w="6095" w:type="dxa"/>
          </w:tcPr>
          <w:p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Very 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ascii="Cambria Math" w:hAnsi="Cambria Math" w:cs="Cambria Math"/>
                <w:color w:val="C00000"/>
              </w:rPr>
              <w:t>⨀</w:t>
            </w:r>
            <w:r w:rsidRPr="00532B79">
              <w:rPr>
                <w:rFonts w:cs="Arial"/>
              </w:rPr>
              <w:t>)</w:t>
            </w:r>
          </w:p>
          <w:p w:rsidR="00321DBE" w:rsidRPr="00532B79" w:rsidRDefault="00321DBE" w:rsidP="001960CE">
            <w:pPr>
              <w:pStyle w:val="Tabletext"/>
              <w:numPr>
                <w:ilvl w:val="0"/>
                <w:numId w:val="22"/>
              </w:numPr>
              <w:spacing w:before="20" w:after="20"/>
              <w:ind w:left="227" w:hanging="227"/>
              <w:rPr>
                <w:rFonts w:cs="Arial"/>
              </w:rPr>
            </w:pPr>
            <w:r w:rsidRPr="00532B79">
              <w:rPr>
                <w:rFonts w:cs="Arial"/>
              </w:rPr>
              <w:t>Patients on combination therapy had a smaller mean improvement in their 6MWD than those on monotherapy, but the difference was not clinically important (MD = 23 m less)</w:t>
            </w:r>
          </w:p>
        </w:tc>
      </w:tr>
    </w:tbl>
    <w:p w:rsidR="00321DBE" w:rsidRPr="00532B79" w:rsidRDefault="00321DBE" w:rsidP="00C21496">
      <w:pPr>
        <w:pStyle w:val="Tablenote"/>
        <w:jc w:val="left"/>
        <w:rPr>
          <w:rFonts w:cs="Arial"/>
        </w:rPr>
      </w:pPr>
      <w:r w:rsidRPr="00532B79">
        <w:rPr>
          <w:rFonts w:cs="Arial"/>
        </w:rPr>
        <w:t>6MWD = 6-minute walk distance; CI = confidence interval; FC = functional class; GRADE = grading of recommendations assessment, development and evaluation</w:t>
      </w:r>
      <w:r w:rsidRPr="00532B79">
        <w:rPr>
          <w:rFonts w:cs="Arial"/>
          <w:noProof/>
          <w:vertAlign w:val="superscript"/>
        </w:rPr>
        <w:t>1</w:t>
      </w:r>
      <w:r w:rsidRPr="00532B79">
        <w:rPr>
          <w:rFonts w:cs="Arial"/>
        </w:rPr>
        <w:t>; MD = mean difference; PAH = pulmonary arterial hypertension; PDE-5 = phosphodiesterase type-5; RR = relative risk; sGC = soluble guanylate cyclase stimulator; WHO = World Health Organization</w:t>
      </w:r>
    </w:p>
    <w:p w:rsidR="0016033A" w:rsidRPr="0016033A" w:rsidRDefault="0016033A" w:rsidP="00C21496">
      <w:pPr>
        <w:pStyle w:val="Heading5"/>
        <w:keepLines w:val="0"/>
        <w:numPr>
          <w:ilvl w:val="0"/>
          <w:numId w:val="0"/>
        </w:numPr>
        <w:spacing w:before="240"/>
        <w:jc w:val="left"/>
        <w:rPr>
          <w:color w:val="auto"/>
          <w:u w:val="single"/>
        </w:rPr>
      </w:pPr>
      <w:bookmarkStart w:id="123" w:name="_Ref506207886"/>
      <w:bookmarkStart w:id="124" w:name="_Toc508396850"/>
      <w:r w:rsidRPr="0016033A">
        <w:rPr>
          <w:color w:val="auto"/>
          <w:u w:val="single"/>
        </w:rPr>
        <w:t>Safety</w:t>
      </w:r>
    </w:p>
    <w:p w:rsidR="0016033A" w:rsidRDefault="0016033A" w:rsidP="00C21496">
      <w:pPr>
        <w:jc w:val="left"/>
      </w:pPr>
      <w:r>
        <w:t xml:space="preserve">One RCT reported on the comparative safety of treatment with a </w:t>
      </w:r>
      <w:r w:rsidRPr="002375AD">
        <w:t xml:space="preserve">sGC stimulator </w:t>
      </w:r>
      <w:r w:rsidRPr="00542902">
        <w:t xml:space="preserve">in addition to </w:t>
      </w:r>
      <w:r>
        <w:t xml:space="preserve">a </w:t>
      </w:r>
      <w:r w:rsidRPr="00542902">
        <w:t xml:space="preserve">PDE-5 inhibitor, </w:t>
      </w:r>
      <w:r>
        <w:t>compared with a PDE-5 inhibitor alone, in patients with PAH:</w:t>
      </w:r>
    </w:p>
    <w:p w:rsidR="0016033A" w:rsidRPr="00B96C6F" w:rsidRDefault="0016033A" w:rsidP="00C21496">
      <w:pPr>
        <w:pStyle w:val="Bullettext"/>
        <w:ind w:left="720"/>
      </w:pPr>
      <w:r>
        <w:t>PATENT-PLUS</w:t>
      </w:r>
    </w:p>
    <w:p w:rsidR="0016033A" w:rsidRPr="00B96C6F" w:rsidRDefault="0016033A" w:rsidP="00C21496">
      <w:pPr>
        <w:pStyle w:val="Bullettext"/>
        <w:ind w:left="720"/>
      </w:pPr>
      <w:r w:rsidRPr="00B96C6F">
        <w:t xml:space="preserve">There were no new </w:t>
      </w:r>
      <w:r>
        <w:t>safety signals identified.</w:t>
      </w:r>
      <w:r w:rsidRPr="007D4DF1">
        <w:t xml:space="preserve"> </w:t>
      </w:r>
    </w:p>
    <w:p w:rsidR="0016033A" w:rsidRDefault="0016033A" w:rsidP="00C21496">
      <w:pPr>
        <w:jc w:val="left"/>
      </w:pPr>
      <w:r>
        <w:t xml:space="preserve">The evidence provided by this trial is summarised in </w:t>
      </w:r>
      <w:r w:rsidR="00CC79E1">
        <w:t>Table ES.</w:t>
      </w:r>
      <w:r w:rsidR="00CC79E1">
        <w:rPr>
          <w:noProof/>
        </w:rPr>
        <w:t>21</w:t>
      </w:r>
      <w:r>
        <w:t>.</w:t>
      </w:r>
    </w:p>
    <w:p w:rsidR="0016033A" w:rsidRDefault="0016033A" w:rsidP="00C21496">
      <w:pPr>
        <w:jc w:val="left"/>
      </w:pPr>
      <w:r>
        <w:t xml:space="preserve">Overall, </w:t>
      </w:r>
      <w:r w:rsidRPr="00487776">
        <w:t>there is considerable uncertainty whether the use of a sGC stimulator in addition to PDE-5 inhibitor, relative to PDE-5 inhibitor monotherapy</w:t>
      </w:r>
      <w:r>
        <w:t xml:space="preserve">, </w:t>
      </w:r>
      <w:r w:rsidRPr="00487776">
        <w:t>would cause additional harm</w:t>
      </w:r>
      <w:r>
        <w:t xml:space="preserve"> to PAH patients</w:t>
      </w:r>
      <w:r w:rsidRPr="006316DF">
        <w:t xml:space="preserve">. </w:t>
      </w:r>
    </w:p>
    <w:p w:rsidR="00A4053B" w:rsidRDefault="00A4053B" w:rsidP="00C21496">
      <w:pPr>
        <w:jc w:val="left"/>
        <w:rPr>
          <w:rFonts w:eastAsia="Times New Roman" w:cs="Times New Roman"/>
          <w:b/>
          <w:bCs/>
          <w:szCs w:val="18"/>
        </w:rPr>
      </w:pPr>
      <w:r>
        <w:br w:type="page"/>
      </w:r>
    </w:p>
    <w:p w:rsidR="009E5A8D" w:rsidRPr="009F466A" w:rsidRDefault="009E5A8D" w:rsidP="00C21496">
      <w:pPr>
        <w:pStyle w:val="Caption"/>
        <w:jc w:val="left"/>
      </w:pPr>
      <w:bookmarkStart w:id="125" w:name="_Ref511118910"/>
      <w:bookmarkStart w:id="126" w:name="_Toc513108465"/>
      <w:bookmarkEnd w:id="123"/>
      <w:bookmarkEnd w:id="124"/>
      <w:r>
        <w:lastRenderedPageBreak/>
        <w:t>Table ES.</w:t>
      </w:r>
      <w:r w:rsidR="00CC79E1">
        <w:rPr>
          <w:noProof/>
        </w:rPr>
        <w:t>21</w:t>
      </w:r>
      <w:bookmarkEnd w:id="125"/>
      <w:r>
        <w:tab/>
      </w:r>
      <w:r w:rsidRPr="009F466A">
        <w:t>Summary of the evidence for the safety of a sGC stimulator in addition to a PDE-5 inhibitor, relative to PDE-5 inhibitor monotherapy</w:t>
      </w:r>
      <w:bookmarkEnd w:id="126"/>
    </w:p>
    <w:tbl>
      <w:tblPr>
        <w:tblStyle w:val="TableGrid"/>
        <w:tblW w:w="9634" w:type="dxa"/>
        <w:tblLook w:val="04A0" w:firstRow="1" w:lastRow="0" w:firstColumn="1" w:lastColumn="0" w:noHBand="0" w:noVBand="1"/>
        <w:tblCaption w:val="Summary of the evidence for the safety of a sGC stimulator in addition to a PDE-5 inhibitor, relative to PDE-5 inhibitor monotherapy"/>
      </w:tblPr>
      <w:tblGrid>
        <w:gridCol w:w="1555"/>
        <w:gridCol w:w="1984"/>
        <w:gridCol w:w="6095"/>
      </w:tblGrid>
      <w:tr w:rsidR="00321DBE" w:rsidRPr="00532B79"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 xml:space="preserve">Included trials </w:t>
            </w:r>
          </w:p>
          <w:p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Summary of evidence</w:t>
            </w:r>
          </w:p>
        </w:tc>
      </w:tr>
      <w:tr w:rsidR="00321DBE" w:rsidRPr="00532B79" w:rsidTr="00321DBE">
        <w:tc>
          <w:tcPr>
            <w:tcW w:w="9634" w:type="dxa"/>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rPr>
                <w:rFonts w:cs="Arial"/>
              </w:rPr>
            </w:pPr>
            <w:r w:rsidRPr="00532B79">
              <w:rPr>
                <w:rFonts w:cs="Arial"/>
              </w:rPr>
              <w:t>Patients with WHO FC III/IV PAH</w:t>
            </w:r>
          </w:p>
        </w:tc>
      </w:tr>
      <w:tr w:rsidR="00321DBE" w:rsidRPr="00532B79" w:rsidTr="00321DBE">
        <w:tc>
          <w:tcPr>
            <w:tcW w:w="1555"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Any AE</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t>N=18</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hAnsi="Cambria Math" w:cs="Cambria Math"/>
                <w:bCs/>
                <w:color w:val="FF0000"/>
              </w:rPr>
              <w:t>⨀</w:t>
            </w:r>
            <w:r w:rsidRPr="00532B79">
              <w:rPr>
                <w:rFonts w:ascii="Cambria Math" w:hAnsi="Cambria Math" w:cs="Cambria Math"/>
                <w:color w:val="FF0000"/>
              </w:rPr>
              <w:t>⨀</w:t>
            </w:r>
            <w:r w:rsidRPr="00532B79">
              <w:rPr>
                <w:rFonts w:cs="Arial"/>
              </w:rPr>
              <w:t>)</w:t>
            </w:r>
          </w:p>
          <w:p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experienced an AE with combination therapy compared with monotherapy, but the 95% CI indicates that the study was underpowered for this outcome (RR = 1.50; 95% CI 0.85, 2.64)</w:t>
            </w:r>
          </w:p>
        </w:tc>
      </w:tr>
      <w:tr w:rsidR="00321DBE" w:rsidRPr="00532B79" w:rsidTr="00321DBE">
        <w:tc>
          <w:tcPr>
            <w:tcW w:w="1555" w:type="dxa"/>
          </w:tcPr>
          <w:p w:rsidR="00321DBE" w:rsidRPr="00532B79" w:rsidRDefault="00321DBE" w:rsidP="00C21496">
            <w:pPr>
              <w:pStyle w:val="Tabletext"/>
              <w:rPr>
                <w:rFonts w:cs="Arial"/>
              </w:rPr>
            </w:pPr>
            <w:r w:rsidRPr="00532B79">
              <w:rPr>
                <w:rFonts w:cs="Arial"/>
              </w:rPr>
              <w:t>Serious AEs</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t>N=18</w:t>
            </w:r>
          </w:p>
        </w:tc>
        <w:tc>
          <w:tcPr>
            <w:tcW w:w="6095" w:type="dxa"/>
          </w:tcPr>
          <w:p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hAnsi="Cambria Math" w:cs="Cambria Math"/>
                <w:bCs/>
                <w:color w:val="FF0000"/>
              </w:rPr>
              <w:t>⨀</w:t>
            </w:r>
            <w:r w:rsidRPr="00532B79">
              <w:rPr>
                <w:rFonts w:ascii="Cambria Math" w:hAnsi="Cambria Math" w:cs="Cambria Math"/>
                <w:color w:val="FF0000"/>
              </w:rPr>
              <w:t>⨀</w:t>
            </w:r>
            <w:r w:rsidRPr="00532B79">
              <w:rPr>
                <w:rFonts w:cs="Arial"/>
              </w:rPr>
              <w:t>)</w:t>
            </w:r>
          </w:p>
          <w:p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experienced a serious AE with combination therapy compared with monotherapy, but the 95% CI indicates that the study was underpowered for this outcome (ARD = 16.7%; 95% CI −4.4, 37.8)</w:t>
            </w:r>
          </w:p>
        </w:tc>
      </w:tr>
      <w:tr w:rsidR="00321DBE" w:rsidRPr="00532B79" w:rsidTr="00321DBE">
        <w:tc>
          <w:tcPr>
            <w:tcW w:w="1555" w:type="dxa"/>
          </w:tcPr>
          <w:p w:rsidR="00321DBE" w:rsidRPr="00532B79" w:rsidRDefault="00321DBE" w:rsidP="00C21496">
            <w:pPr>
              <w:pStyle w:val="Tabletext"/>
              <w:rPr>
                <w:rFonts w:cs="Arial"/>
              </w:rPr>
            </w:pPr>
            <w:r w:rsidRPr="00532B79">
              <w:rPr>
                <w:rFonts w:cs="Arial"/>
              </w:rPr>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 xml:space="preserve">PATENT-PLUS (riociguat/sildenafil) </w:t>
            </w:r>
          </w:p>
          <w:p w:rsidR="00321DBE" w:rsidRPr="00532B79" w:rsidRDefault="00321DBE" w:rsidP="00C21496">
            <w:pPr>
              <w:pStyle w:val="Tabletext"/>
              <w:rPr>
                <w:rFonts w:cs="Arial"/>
              </w:rPr>
            </w:pPr>
            <w:r w:rsidRPr="00532B79">
              <w:rPr>
                <w:rFonts w:cs="Arial"/>
              </w:rPr>
              <w:t>N=18</w:t>
            </w:r>
          </w:p>
        </w:tc>
        <w:tc>
          <w:tcPr>
            <w:tcW w:w="6095" w:type="dxa"/>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hAnsi="Cambria Math" w:cs="Cambria Math"/>
                <w:bCs/>
                <w:color w:val="FF0000"/>
              </w:rPr>
              <w:t>⨀</w:t>
            </w:r>
            <w:r w:rsidRPr="00532B79">
              <w:rPr>
                <w:rFonts w:ascii="Cambria Math" w:hAnsi="Cambria Math" w:cs="Cambria Math"/>
                <w:color w:val="FF0000"/>
              </w:rPr>
              <w:t>⨀</w:t>
            </w:r>
            <w:r w:rsidRPr="00532B79">
              <w:rPr>
                <w:rFonts w:cs="Arial"/>
              </w:rPr>
              <w:t>)</w:t>
            </w:r>
          </w:p>
          <w:p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had an AE leading to treatment discontinuation with combination therapy compared with monotherapy, but the difference was not statistically significant (ARD = 8.3%; 95% CI −7.3, 24.0)</w:t>
            </w:r>
          </w:p>
        </w:tc>
      </w:tr>
    </w:tbl>
    <w:p w:rsidR="00321DBE" w:rsidRPr="00532B79" w:rsidRDefault="00321DBE" w:rsidP="00C21496">
      <w:pPr>
        <w:pStyle w:val="Tablenote"/>
        <w:jc w:val="left"/>
        <w:rPr>
          <w:rFonts w:cs="Arial"/>
        </w:rPr>
      </w:pPr>
      <w:r w:rsidRPr="00532B79">
        <w:rPr>
          <w:rFonts w:cs="Arial"/>
        </w:rPr>
        <w:t>AE = adverse event; ARD = absolute risk difference; CI = confidence interval; FC = functional class; GRADE = grading of recommendations assessment, development and evaluation</w:t>
      </w:r>
      <w:r w:rsidRPr="00532B79">
        <w:rPr>
          <w:rFonts w:cs="Arial"/>
          <w:noProof/>
          <w:vertAlign w:val="superscript"/>
        </w:rPr>
        <w:t>1</w:t>
      </w:r>
      <w:r w:rsidRPr="00532B79">
        <w:rPr>
          <w:rFonts w:cs="Arial"/>
        </w:rPr>
        <w:t>; PAH = pulmonary arterial hypertension; PDE-5 = phosphodiesterase type-5; RR = relative risk; sGC = soluble guanylate cyclase stimulator; WHO = World Health Organization</w:t>
      </w:r>
    </w:p>
    <w:p w:rsidR="00321DBE" w:rsidRPr="009F466A" w:rsidRDefault="00321DBE" w:rsidP="00C21496">
      <w:pPr>
        <w:pStyle w:val="Heading4"/>
      </w:pPr>
      <w:proofErr w:type="gramStart"/>
      <w:r w:rsidRPr="009F466A">
        <w:t>sGC</w:t>
      </w:r>
      <w:proofErr w:type="gramEnd"/>
      <w:r w:rsidRPr="009F466A">
        <w:t xml:space="preserve"> stimulator in addition to a prostanoid</w:t>
      </w:r>
    </w:p>
    <w:p w:rsidR="0016033A" w:rsidRPr="0016033A" w:rsidRDefault="0016033A" w:rsidP="00C21496">
      <w:pPr>
        <w:pStyle w:val="Heading5"/>
        <w:keepLines w:val="0"/>
        <w:numPr>
          <w:ilvl w:val="0"/>
          <w:numId w:val="0"/>
        </w:numPr>
        <w:spacing w:before="240"/>
        <w:jc w:val="left"/>
        <w:rPr>
          <w:color w:val="auto"/>
          <w:u w:val="single"/>
        </w:rPr>
      </w:pPr>
      <w:bookmarkStart w:id="127" w:name="_Ref506208359"/>
      <w:bookmarkStart w:id="128" w:name="_Toc508396851"/>
      <w:r w:rsidRPr="0016033A">
        <w:rPr>
          <w:color w:val="auto"/>
          <w:u w:val="single"/>
        </w:rPr>
        <w:t>Clinical effectiveness</w:t>
      </w:r>
    </w:p>
    <w:p w:rsidR="0016033A" w:rsidRDefault="0016033A" w:rsidP="00C21496">
      <w:pPr>
        <w:jc w:val="left"/>
      </w:pPr>
      <w:r>
        <w:t>One RCT</w:t>
      </w:r>
      <w:r w:rsidRPr="00822C52">
        <w:t xml:space="preserve"> rep</w:t>
      </w:r>
      <w:r>
        <w:t>orted on the effectiveness of a</w:t>
      </w:r>
      <w:r w:rsidRPr="00822C52">
        <w:t xml:space="preserve"> </w:t>
      </w:r>
      <w:r w:rsidRPr="00955629">
        <w:t xml:space="preserve">sGC stimulator </w:t>
      </w:r>
      <w:r w:rsidRPr="00822C52">
        <w:t xml:space="preserve">in addition to a </w:t>
      </w:r>
      <w:r>
        <w:t>prostanoid</w:t>
      </w:r>
      <w:r w:rsidRPr="00C5017B">
        <w:t xml:space="preserve"> </w:t>
      </w:r>
      <w:r>
        <w:t xml:space="preserve">when </w:t>
      </w:r>
      <w:r w:rsidRPr="00822C52">
        <w:t xml:space="preserve">compared with placebo plus a </w:t>
      </w:r>
      <w:r>
        <w:t>prostanoid</w:t>
      </w:r>
      <w:r w:rsidRPr="00822C52">
        <w:t xml:space="preserve"> in patients with PAH</w:t>
      </w:r>
      <w:r>
        <w:t>:</w:t>
      </w:r>
    </w:p>
    <w:p w:rsidR="0016033A" w:rsidRPr="00D103A9" w:rsidRDefault="0016033A" w:rsidP="00C21496">
      <w:pPr>
        <w:pStyle w:val="Bullettext"/>
        <w:ind w:left="720"/>
      </w:pPr>
      <w:r w:rsidRPr="00D103A9">
        <w:t xml:space="preserve">PATENT-1 enrolled </w:t>
      </w:r>
      <w:r>
        <w:t xml:space="preserve">PAH </w:t>
      </w:r>
      <w:r w:rsidRPr="00D103A9">
        <w:t>patients with or without background ERA or prostanoid therapy, to receive riociguat or placebo</w:t>
      </w:r>
    </w:p>
    <w:p w:rsidR="0016033A" w:rsidRPr="00D103A9" w:rsidRDefault="0016033A" w:rsidP="00C21496">
      <w:pPr>
        <w:pStyle w:val="Bullettext"/>
        <w:ind w:left="720"/>
      </w:pPr>
      <w:r w:rsidRPr="00D103A9">
        <w:t>Due to the small size of the sGC stimulator ± prostanoid group, no further subgroup analysis was undertaken</w:t>
      </w:r>
    </w:p>
    <w:p w:rsidR="0016033A" w:rsidRDefault="0016033A" w:rsidP="00C21496">
      <w:pPr>
        <w:jc w:val="left"/>
      </w:pPr>
      <w:r>
        <w:t xml:space="preserve">The evidence provided by this trial is summarised in </w:t>
      </w:r>
      <w:r w:rsidR="00CC79E1">
        <w:t>Table ES.</w:t>
      </w:r>
      <w:r w:rsidR="00CC79E1">
        <w:rPr>
          <w:noProof/>
        </w:rPr>
        <w:t>22</w:t>
      </w:r>
      <w:r>
        <w:t>.</w:t>
      </w:r>
    </w:p>
    <w:p w:rsidR="0016033A" w:rsidRDefault="0016033A" w:rsidP="00C21496">
      <w:pPr>
        <w:jc w:val="left"/>
      </w:pPr>
      <w:r>
        <w:t xml:space="preserve">Overall, </w:t>
      </w:r>
      <w:r w:rsidRPr="001E5DED">
        <w:t xml:space="preserve">there is considerable uncertainty as to whether the use of a </w:t>
      </w:r>
      <w:r w:rsidRPr="00487776">
        <w:t xml:space="preserve">sGC stimulator </w:t>
      </w:r>
      <w:r w:rsidRPr="001E5DED">
        <w:t xml:space="preserve">in addition to a </w:t>
      </w:r>
      <w:r>
        <w:t>prostanoid</w:t>
      </w:r>
      <w:r w:rsidRPr="001E5DED">
        <w:t xml:space="preserve">, relative to </w:t>
      </w:r>
      <w:r>
        <w:t>prostanoid</w:t>
      </w:r>
      <w:r w:rsidRPr="001E5DED">
        <w:t xml:space="preserve"> monotherapy to treat PAH patients is likely to be beneficial</w:t>
      </w:r>
      <w:r w:rsidRPr="0034017B">
        <w:t>.</w:t>
      </w:r>
    </w:p>
    <w:p w:rsidR="00A4053B" w:rsidRDefault="00A4053B" w:rsidP="00C21496">
      <w:pPr>
        <w:jc w:val="left"/>
        <w:rPr>
          <w:rFonts w:eastAsia="Times New Roman" w:cs="Times New Roman"/>
          <w:b/>
          <w:bCs/>
          <w:szCs w:val="18"/>
        </w:rPr>
      </w:pPr>
      <w:r>
        <w:br w:type="page"/>
      </w:r>
    </w:p>
    <w:p w:rsidR="004A1130" w:rsidRPr="004A1130" w:rsidRDefault="004A1130" w:rsidP="00C21496">
      <w:pPr>
        <w:pStyle w:val="Caption"/>
        <w:jc w:val="left"/>
      </w:pPr>
      <w:bookmarkStart w:id="129" w:name="_Ref511118920"/>
      <w:bookmarkStart w:id="130" w:name="_Toc513108466"/>
      <w:bookmarkEnd w:id="127"/>
      <w:bookmarkEnd w:id="128"/>
      <w:r>
        <w:lastRenderedPageBreak/>
        <w:t>Table ES.</w:t>
      </w:r>
      <w:r w:rsidR="00CC79E1">
        <w:rPr>
          <w:noProof/>
        </w:rPr>
        <w:t>22</w:t>
      </w:r>
      <w:bookmarkEnd w:id="129"/>
      <w:r>
        <w:tab/>
      </w:r>
      <w:r w:rsidRPr="009F466A">
        <w:t>Summary of the evidence for the clinical effectiveness of a sGC stimulator in addition to a prostanoid, relative to prostanoid monotherapy</w:t>
      </w:r>
      <w:bookmarkEnd w:id="130"/>
    </w:p>
    <w:tbl>
      <w:tblPr>
        <w:tblStyle w:val="TableGrid"/>
        <w:tblW w:w="5368" w:type="pct"/>
        <w:tblInd w:w="-176" w:type="dxa"/>
        <w:tblLayout w:type="fixed"/>
        <w:tblLook w:val="04A0" w:firstRow="1" w:lastRow="0" w:firstColumn="1" w:lastColumn="0" w:noHBand="0" w:noVBand="1"/>
        <w:tblCaption w:val="Summary of the evidence for the clinical effectiveness of a sGC stimulator in addition to a prostanoid, relative to prostanoid monotherapy"/>
      </w:tblPr>
      <w:tblGrid>
        <w:gridCol w:w="1703"/>
        <w:gridCol w:w="2125"/>
        <w:gridCol w:w="6094"/>
      </w:tblGrid>
      <w:tr w:rsidR="002E6D42" w:rsidRPr="00532B79" w:rsidTr="002E6D42">
        <w:trPr>
          <w:tblHeader/>
        </w:trPr>
        <w:tc>
          <w:tcPr>
            <w:tcW w:w="8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Outcome</w:t>
            </w:r>
          </w:p>
        </w:tc>
        <w:tc>
          <w:tcPr>
            <w:tcW w:w="1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 xml:space="preserve">Included trials </w:t>
            </w:r>
          </w:p>
          <w:p w:rsidR="00321DBE" w:rsidRPr="00532B79" w:rsidRDefault="00321DBE" w:rsidP="00C21496">
            <w:pPr>
              <w:pStyle w:val="Tabletext"/>
              <w:rPr>
                <w:rFonts w:cs="Arial"/>
                <w:b/>
              </w:rPr>
            </w:pPr>
            <w:r w:rsidRPr="00532B79">
              <w:rPr>
                <w:rFonts w:cs="Arial"/>
                <w:b/>
              </w:rPr>
              <w:t xml:space="preserve">No. of patients </w:t>
            </w:r>
          </w:p>
        </w:tc>
        <w:tc>
          <w:tcPr>
            <w:tcW w:w="3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1DBE" w:rsidRPr="00532B79" w:rsidRDefault="00321DBE" w:rsidP="00C21496">
            <w:pPr>
              <w:pStyle w:val="Tabletext"/>
              <w:rPr>
                <w:rFonts w:cs="Arial"/>
                <w:b/>
              </w:rPr>
            </w:pPr>
            <w:r w:rsidRPr="00532B79">
              <w:rPr>
                <w:rFonts w:cs="Arial"/>
                <w:b/>
              </w:rPr>
              <w:t>Summary of evidence</w:t>
            </w:r>
          </w:p>
        </w:tc>
      </w:tr>
      <w:tr w:rsidR="00321DBE" w:rsidRPr="00532B79" w:rsidTr="002E6D42">
        <w:tc>
          <w:tcPr>
            <w:tcW w:w="5000" w:type="pct"/>
            <w:gridSpan w:val="3"/>
            <w:tcBorders>
              <w:top w:val="nil"/>
              <w:left w:val="single" w:sz="4" w:space="0" w:color="auto"/>
              <w:bottom w:val="single" w:sz="4" w:space="0" w:color="auto"/>
              <w:right w:val="single" w:sz="4" w:space="0" w:color="auto"/>
            </w:tcBorders>
            <w:shd w:val="clear" w:color="auto" w:fill="000000"/>
          </w:tcPr>
          <w:p w:rsidR="00321DBE" w:rsidRPr="00532B79" w:rsidRDefault="00321DBE" w:rsidP="00C21496">
            <w:pPr>
              <w:pStyle w:val="Tabletext"/>
              <w:rPr>
                <w:rFonts w:cs="Arial"/>
              </w:rPr>
            </w:pPr>
            <w:r w:rsidRPr="00532B79">
              <w:rPr>
                <w:rFonts w:cs="Arial"/>
              </w:rPr>
              <w:t>All PAH patients</w:t>
            </w:r>
          </w:p>
        </w:tc>
      </w:tr>
      <w:tr w:rsidR="002E6D42" w:rsidRPr="00532B79" w:rsidTr="002E6D42">
        <w:tc>
          <w:tcPr>
            <w:tcW w:w="858"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Clinical worsening</w:t>
            </w:r>
          </w:p>
        </w:tc>
        <w:tc>
          <w:tcPr>
            <w:tcW w:w="1071"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(riociguat/prostanoid)</w:t>
            </w:r>
          </w:p>
          <w:p w:rsidR="00321DBE" w:rsidRPr="00532B79" w:rsidRDefault="00321DBE" w:rsidP="00C21496">
            <w:pPr>
              <w:pStyle w:val="Tabletext"/>
              <w:rPr>
                <w:rFonts w:cs="Arial"/>
              </w:rPr>
            </w:pPr>
            <w:r w:rsidRPr="00532B79">
              <w:rPr>
                <w:rFonts w:cs="Arial"/>
              </w:rPr>
              <w:t>N=27</w:t>
            </w:r>
          </w:p>
        </w:tc>
        <w:tc>
          <w:tcPr>
            <w:tcW w:w="3071" w:type="pct"/>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A765F3" w:rsidRDefault="00A765F3" w:rsidP="002E6D42">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Pr>
          <w:p w:rsidR="00321DBE" w:rsidRPr="00532B79" w:rsidRDefault="00321DBE" w:rsidP="00C21496">
            <w:pPr>
              <w:pStyle w:val="Tabletext"/>
              <w:rPr>
                <w:rFonts w:cs="Arial"/>
              </w:rPr>
            </w:pPr>
            <w:r w:rsidRPr="00532B79">
              <w:rPr>
                <w:rFonts w:cs="Arial"/>
              </w:rPr>
              <w:t>All-cause mortality</w:t>
            </w:r>
          </w:p>
        </w:tc>
        <w:tc>
          <w:tcPr>
            <w:tcW w:w="1071"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A765F3" w:rsidRDefault="00A765F3" w:rsidP="002E6D42">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Hospitalisation due to worsening PAH</w:t>
            </w:r>
          </w:p>
        </w:tc>
        <w:tc>
          <w:tcPr>
            <w:tcW w:w="1071"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A765F3" w:rsidRDefault="00A765F3" w:rsidP="00A765F3">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Improved WHO FC</w:t>
            </w:r>
          </w:p>
        </w:tc>
        <w:tc>
          <w:tcPr>
            <w:tcW w:w="1071"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Borders>
              <w:top w:val="single" w:sz="4" w:space="0" w:color="auto"/>
              <w:left w:val="single" w:sz="4" w:space="0" w:color="auto"/>
              <w:bottom w:val="single" w:sz="4" w:space="0" w:color="auto"/>
              <w:right w:val="single" w:sz="4" w:space="0" w:color="auto"/>
            </w:tcBorders>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Very 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ascii="Cambria Math" w:eastAsia="Times New Roman" w:hAnsi="Cambria Math" w:cs="Cambria Math"/>
                <w:bCs/>
                <w:color w:val="C00000"/>
              </w:rPr>
              <w:t>⨀</w:t>
            </w:r>
            <w:r w:rsidRPr="00532B79">
              <w:rPr>
                <w:rFonts w:cs="Arial"/>
              </w:rPr>
              <w:t>)</w:t>
            </w:r>
          </w:p>
          <w:p w:rsidR="00321DBE" w:rsidRPr="002E6D42" w:rsidRDefault="00A765F3" w:rsidP="00A765F3">
            <w:pPr>
              <w:pStyle w:val="Tabletext"/>
              <w:spacing w:before="20" w:after="20"/>
              <w:ind w:left="227" w:hanging="227"/>
              <w:rPr>
                <w:rFonts w:cs="Arial"/>
                <w:sz w:val="16"/>
                <w:szCs w:val="16"/>
                <w:highlight w:val="black"/>
              </w:rPr>
            </w:pP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Pr>
          <w:p w:rsidR="00321DBE" w:rsidRPr="00532B79" w:rsidRDefault="00321DBE" w:rsidP="00C21496">
            <w:pPr>
              <w:pStyle w:val="Tabletext"/>
              <w:rPr>
                <w:rFonts w:cs="Arial"/>
              </w:rPr>
            </w:pPr>
            <w:r w:rsidRPr="00532B79">
              <w:rPr>
                <w:rFonts w:cs="Arial"/>
              </w:rPr>
              <w:t>Worsened WHO FC</w:t>
            </w:r>
          </w:p>
        </w:tc>
        <w:tc>
          <w:tcPr>
            <w:tcW w:w="1071" w:type="pct"/>
            <w:tcBorders>
              <w:top w:val="single" w:sz="4" w:space="0" w:color="auto"/>
              <w:left w:val="single" w:sz="4" w:space="0" w:color="auto"/>
              <w:bottom w:val="single" w:sz="4" w:space="0" w:color="auto"/>
              <w:right w:val="single" w:sz="4" w:space="0" w:color="auto"/>
            </w:tcBorders>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A765F3" w:rsidRDefault="00A765F3" w:rsidP="002E6D42">
            <w:pPr>
              <w:pStyle w:val="Tabletext"/>
              <w:spacing w:before="20" w:after="20"/>
              <w:ind w:left="227" w:hanging="227"/>
              <w:rPr>
                <w:rFonts w:cs="Arial"/>
                <w:highlight w:val="black"/>
              </w:rPr>
            </w:pPr>
            <w:r>
              <w:rPr>
                <w:rFonts w:ascii="Symbol" w:hAnsi="Symbol" w:cs="Arial"/>
                <w:noProof/>
                <w:color w:val="000000"/>
                <w:highlight w:val="black"/>
              </w:rPr>
              <w:t></w:t>
            </w: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Pr>
          <w:p w:rsidR="00321DBE" w:rsidRPr="00532B79" w:rsidRDefault="00321DBE" w:rsidP="00C21496">
            <w:pPr>
              <w:pStyle w:val="Tabletext"/>
              <w:rPr>
                <w:rFonts w:cs="Arial"/>
              </w:rPr>
            </w:pPr>
            <w:r w:rsidRPr="00532B79">
              <w:rPr>
                <w:rFonts w:cs="Arial"/>
              </w:rPr>
              <w:t>Change in 6MWD from baseline</w:t>
            </w:r>
          </w:p>
        </w:tc>
        <w:tc>
          <w:tcPr>
            <w:tcW w:w="1071"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A765F3" w:rsidRDefault="00A765F3" w:rsidP="00A765F3">
            <w:pPr>
              <w:pStyle w:val="Tabletext"/>
              <w:spacing w:before="20" w:after="20"/>
              <w:ind w:left="227" w:hanging="227"/>
              <w:rPr>
                <w:rFonts w:cs="Arial"/>
                <w:highlight w:val="black"/>
              </w:rPr>
            </w:pP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Pr>
          <w:p w:rsidR="00321DBE" w:rsidRPr="00532B79" w:rsidRDefault="00321DBE" w:rsidP="00C21496">
            <w:pPr>
              <w:pStyle w:val="Tabletext"/>
              <w:rPr>
                <w:rFonts w:cs="Arial"/>
              </w:rPr>
            </w:pPr>
            <w:r w:rsidRPr="00532B79">
              <w:rPr>
                <w:rFonts w:cs="Arial"/>
              </w:rPr>
              <w:t>Change in QoL from baseline:</w:t>
            </w:r>
          </w:p>
          <w:p w:rsidR="00321DBE" w:rsidRPr="00532B79" w:rsidRDefault="00321DBE" w:rsidP="00C21496">
            <w:pPr>
              <w:pStyle w:val="Tabletext"/>
              <w:rPr>
                <w:rFonts w:cs="Arial"/>
              </w:rPr>
            </w:pPr>
            <w:r w:rsidRPr="00532B79">
              <w:rPr>
                <w:rFonts w:cs="Arial"/>
              </w:rPr>
              <w:t>EQ-5D</w:t>
            </w:r>
            <w:r w:rsidRPr="00532B79">
              <w:rPr>
                <w:rFonts w:cs="Arial"/>
                <w:vertAlign w:val="superscript"/>
              </w:rPr>
              <w:t>a</w:t>
            </w:r>
            <w:r w:rsidRPr="00532B79">
              <w:rPr>
                <w:rFonts w:cs="Arial"/>
              </w:rPr>
              <w:t xml:space="preserve">, </w:t>
            </w:r>
            <w:proofErr w:type="spellStart"/>
            <w:r w:rsidRPr="00532B79">
              <w:rPr>
                <w:rFonts w:cs="Arial"/>
              </w:rPr>
              <w:t>LPH</w:t>
            </w:r>
            <w:r w:rsidRPr="00532B79">
              <w:rPr>
                <w:rFonts w:cs="Arial"/>
                <w:vertAlign w:val="superscript"/>
              </w:rPr>
              <w:t>b</w:t>
            </w:r>
            <w:proofErr w:type="spellEnd"/>
          </w:p>
        </w:tc>
        <w:tc>
          <w:tcPr>
            <w:tcW w:w="1071"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Moderate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cs="Arial"/>
              </w:rPr>
              <w:t>)</w:t>
            </w:r>
          </w:p>
          <w:p w:rsidR="00321DBE" w:rsidRPr="002E6D42" w:rsidRDefault="00A765F3" w:rsidP="002E6D42">
            <w:pPr>
              <w:pStyle w:val="Tabletext"/>
              <w:spacing w:before="20" w:after="20"/>
              <w:ind w:left="227" w:hanging="227"/>
              <w:rPr>
                <w:rFonts w:cs="Arial"/>
                <w:sz w:val="16"/>
                <w:szCs w:val="16"/>
                <w:highlight w:val="black"/>
              </w:rPr>
            </w:pP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r w:rsidR="002E6D42" w:rsidRPr="00532B79" w:rsidTr="002E6D42">
        <w:tc>
          <w:tcPr>
            <w:tcW w:w="858" w:type="pct"/>
          </w:tcPr>
          <w:p w:rsidR="00321DBE" w:rsidRPr="00532B79" w:rsidRDefault="00321DBE" w:rsidP="00C21496">
            <w:pPr>
              <w:pStyle w:val="Tabletext"/>
              <w:rPr>
                <w:rFonts w:cs="Arial"/>
              </w:rPr>
            </w:pPr>
            <w:r w:rsidRPr="00532B79">
              <w:rPr>
                <w:rFonts w:cs="Arial"/>
              </w:rPr>
              <w:t>Change in haemodynamic parameters from baseline:</w:t>
            </w:r>
          </w:p>
          <w:p w:rsidR="00321DBE" w:rsidRPr="00532B79" w:rsidRDefault="00321DBE" w:rsidP="00C21496">
            <w:pPr>
              <w:pStyle w:val="Tabletext"/>
              <w:rPr>
                <w:rFonts w:cs="Arial"/>
              </w:rPr>
            </w:pPr>
            <w:r w:rsidRPr="00532B79">
              <w:rPr>
                <w:rFonts w:cs="Arial"/>
              </w:rPr>
              <w:t>PVR</w:t>
            </w:r>
          </w:p>
        </w:tc>
        <w:tc>
          <w:tcPr>
            <w:tcW w:w="1071" w:type="pct"/>
          </w:tcPr>
          <w:p w:rsidR="00321DBE" w:rsidRPr="00532B79" w:rsidRDefault="00321DBE" w:rsidP="00C21496">
            <w:pPr>
              <w:pStyle w:val="Tabletext"/>
              <w:rPr>
                <w:rFonts w:cs="Arial"/>
              </w:rPr>
            </w:pPr>
            <w:r w:rsidRPr="00532B79">
              <w:rPr>
                <w:rFonts w:cs="Arial"/>
              </w:rPr>
              <w:t>PATENT-1</w:t>
            </w:r>
            <w:r w:rsidRPr="00532B79">
              <w:rPr>
                <w:rFonts w:cs="Arial"/>
              </w:rPr>
              <w:br/>
              <w:t xml:space="preserve">(riociguat/prostanoid) </w:t>
            </w:r>
          </w:p>
          <w:p w:rsidR="00321DBE" w:rsidRPr="00532B79" w:rsidRDefault="00321DBE" w:rsidP="00C21496">
            <w:pPr>
              <w:pStyle w:val="Tabletext"/>
              <w:rPr>
                <w:rFonts w:cs="Arial"/>
              </w:rPr>
            </w:pPr>
            <w:r w:rsidRPr="00532B79">
              <w:rPr>
                <w:rFonts w:cs="Arial"/>
              </w:rPr>
              <w:t>N=27</w:t>
            </w:r>
          </w:p>
        </w:tc>
        <w:tc>
          <w:tcPr>
            <w:tcW w:w="3071" w:type="pct"/>
          </w:tcPr>
          <w:p w:rsidR="00321DBE" w:rsidRPr="00532B79" w:rsidRDefault="00321DBE" w:rsidP="001960CE">
            <w:pPr>
              <w:pStyle w:val="Tabletext"/>
              <w:numPr>
                <w:ilvl w:val="0"/>
                <w:numId w:val="23"/>
              </w:numPr>
              <w:spacing w:before="20" w:after="20"/>
              <w:ind w:left="227" w:hanging="227"/>
              <w:rPr>
                <w:rFonts w:cs="Arial"/>
              </w:rPr>
            </w:pPr>
            <w:r w:rsidRPr="00532B79">
              <w:rPr>
                <w:rFonts w:cs="Arial"/>
              </w:rPr>
              <w:t xml:space="preserve">Very low quality evidence (GRADE </w:t>
            </w:r>
            <w:r w:rsidRPr="00532B79">
              <w:rPr>
                <w:rFonts w:ascii="Cambria Math" w:hAnsi="Cambria Math" w:cs="Cambria Math"/>
                <w:color w:val="00B050"/>
              </w:rPr>
              <w:t>⨁</w:t>
            </w:r>
            <w:r w:rsidRPr="00532B79">
              <w:rPr>
                <w:rFonts w:ascii="Cambria Math" w:eastAsia="Times New Roman" w:hAnsi="Cambria Math" w:cs="Cambria Math"/>
                <w:bCs/>
                <w:color w:val="FF0000"/>
              </w:rPr>
              <w:t>⨀⨀</w:t>
            </w:r>
            <w:r w:rsidRPr="00532B79">
              <w:rPr>
                <w:rFonts w:ascii="Cambria Math" w:hAnsi="Cambria Math" w:cs="Cambria Math"/>
                <w:color w:val="C00000"/>
              </w:rPr>
              <w:t>⨀</w:t>
            </w:r>
            <w:r w:rsidRPr="00532B79">
              <w:rPr>
                <w:rFonts w:cs="Arial"/>
              </w:rPr>
              <w:t>)</w:t>
            </w:r>
          </w:p>
          <w:p w:rsidR="00321DBE" w:rsidRPr="00A765F3" w:rsidRDefault="00A765F3" w:rsidP="00A765F3">
            <w:pPr>
              <w:pStyle w:val="Tabletext"/>
              <w:spacing w:before="20" w:after="20"/>
              <w:ind w:left="227" w:hanging="227"/>
              <w:rPr>
                <w:rFonts w:cs="Arial"/>
                <w:highlight w:val="black"/>
              </w:rPr>
            </w:pPr>
            <w:r>
              <w:rPr>
                <w:rFonts w:ascii="Symbol" w:hAnsi="Symbol" w:cs="Arial"/>
                <w:noProof/>
                <w:color w:val="000000"/>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r w:rsidRPr="002E6D42">
              <w:rPr>
                <w:rFonts w:ascii="Symbol" w:hAnsi="Symbol" w:cs="Arial"/>
                <w:noProof/>
                <w:color w:val="000000"/>
                <w:sz w:val="16"/>
                <w:szCs w:val="16"/>
                <w:highlight w:val="black"/>
              </w:rPr>
              <w:t></w:t>
            </w:r>
          </w:p>
        </w:tc>
      </w:tr>
    </w:tbl>
    <w:p w:rsidR="00321DBE" w:rsidRPr="00532B79" w:rsidRDefault="00321DBE" w:rsidP="00C21496">
      <w:pPr>
        <w:pStyle w:val="Tablenote"/>
        <w:jc w:val="left"/>
        <w:rPr>
          <w:rFonts w:cs="Arial"/>
        </w:rPr>
      </w:pPr>
      <w:proofErr w:type="gramStart"/>
      <w:r w:rsidRPr="00532B79">
        <w:rPr>
          <w:rFonts w:cs="Arial"/>
          <w:vertAlign w:val="superscript"/>
        </w:rPr>
        <w:t>a</w:t>
      </w:r>
      <w:proofErr w:type="gramEnd"/>
      <w:r w:rsidRPr="00532B79">
        <w:rPr>
          <w:rFonts w:cs="Arial"/>
          <w:vertAlign w:val="superscript"/>
        </w:rPr>
        <w:t xml:space="preserve"> </w:t>
      </w:r>
      <w:r w:rsidRPr="00532B79">
        <w:rPr>
          <w:rFonts w:cs="Arial"/>
        </w:rPr>
        <w:t>EQ-5D utility scores range from −0.59 to 1.00. A higher score represents better QoL.</w:t>
      </w:r>
    </w:p>
    <w:p w:rsidR="00321DBE" w:rsidRPr="00532B79" w:rsidRDefault="00321DBE" w:rsidP="00C21496">
      <w:pPr>
        <w:pStyle w:val="Tablenote"/>
        <w:jc w:val="left"/>
        <w:rPr>
          <w:rFonts w:cs="Arial"/>
        </w:rPr>
      </w:pPr>
      <w:proofErr w:type="gramStart"/>
      <w:r w:rsidRPr="00532B79">
        <w:rPr>
          <w:rFonts w:cs="Arial"/>
          <w:vertAlign w:val="superscript"/>
        </w:rPr>
        <w:t>b</w:t>
      </w:r>
      <w:proofErr w:type="gramEnd"/>
      <w:r w:rsidRPr="00532B79">
        <w:rPr>
          <w:rFonts w:cs="Arial"/>
          <w:vertAlign w:val="superscript"/>
        </w:rPr>
        <w:t xml:space="preserve"> </w:t>
      </w:r>
      <w:r w:rsidRPr="00532B79">
        <w:rPr>
          <w:rFonts w:cs="Arial"/>
        </w:rPr>
        <w:t>LPH total scores range from 0 to 105. A higher score indicates poorer QoL.</w:t>
      </w:r>
    </w:p>
    <w:p w:rsidR="00321DBE" w:rsidRPr="00532B79" w:rsidRDefault="00321DBE" w:rsidP="00C21496">
      <w:pPr>
        <w:pStyle w:val="Tablenote"/>
        <w:jc w:val="left"/>
        <w:rPr>
          <w:rFonts w:cs="Arial"/>
        </w:rPr>
      </w:pPr>
      <w:r w:rsidRPr="00532B79">
        <w:rPr>
          <w:rFonts w:cs="Arial"/>
        </w:rPr>
        <w:t xml:space="preserve">6MWD = 6-minute walk distance; ARD = absolute risk difference; CI = confidence interval; EQ-5D = </w:t>
      </w:r>
      <w:proofErr w:type="spellStart"/>
      <w:r w:rsidRPr="00532B79">
        <w:rPr>
          <w:rFonts w:cs="Arial"/>
        </w:rPr>
        <w:t>EuroQol</w:t>
      </w:r>
      <w:proofErr w:type="spellEnd"/>
      <w:r w:rsidRPr="00532B79">
        <w:rPr>
          <w:rFonts w:cs="Arial"/>
        </w:rPr>
        <w:t xml:space="preserve"> 5 dimension; FC = functional class; GRADE = grading of recommendations assessment, development and evaluation</w:t>
      </w:r>
      <w:r w:rsidRPr="00532B79">
        <w:rPr>
          <w:rFonts w:cs="Arial"/>
          <w:noProof/>
          <w:vertAlign w:val="superscript"/>
        </w:rPr>
        <w:t>1</w:t>
      </w:r>
      <w:r w:rsidRPr="00532B79">
        <w:rPr>
          <w:rFonts w:cs="Arial"/>
        </w:rPr>
        <w:t>; LPH = living with pulmonary hypertension; MD = mean difference; PAH = pulmonary arterial hypertension; PVR = pulmonary vascular resistance; QoL = quality of life; RR = relative risk; sGC = soluble guanylate cyclase stimulator; WHO = World Health Organization</w:t>
      </w:r>
    </w:p>
    <w:p w:rsidR="0016033A" w:rsidRPr="0016033A" w:rsidRDefault="0016033A" w:rsidP="00C21496">
      <w:pPr>
        <w:pStyle w:val="Heading5"/>
        <w:numPr>
          <w:ilvl w:val="0"/>
          <w:numId w:val="0"/>
        </w:numPr>
        <w:ind w:left="1008" w:hanging="1008"/>
        <w:jc w:val="left"/>
        <w:rPr>
          <w:color w:val="auto"/>
          <w:u w:val="single"/>
        </w:rPr>
      </w:pPr>
      <w:bookmarkStart w:id="131" w:name="_Toc508396551"/>
      <w:r w:rsidRPr="0016033A">
        <w:rPr>
          <w:color w:val="auto"/>
          <w:u w:val="single"/>
        </w:rPr>
        <w:lastRenderedPageBreak/>
        <w:t>Safety</w:t>
      </w:r>
    </w:p>
    <w:p w:rsidR="00532B79" w:rsidRDefault="0016033A" w:rsidP="00C21496">
      <w:pPr>
        <w:jc w:val="left"/>
      </w:pPr>
      <w:r w:rsidRPr="00457FA6">
        <w:t xml:space="preserve">There is no evidence to evaluate the comparative safety of a sGC stimulator in addition to a </w:t>
      </w:r>
      <w:r>
        <w:t>prostanoid</w:t>
      </w:r>
      <w:r w:rsidRPr="00457FA6">
        <w:t xml:space="preserve">, relative to </w:t>
      </w:r>
      <w:r>
        <w:t>prostanoid</w:t>
      </w:r>
      <w:r w:rsidRPr="00457FA6">
        <w:t xml:space="preserve"> monotherapy</w:t>
      </w:r>
      <w:r>
        <w:t>,</w:t>
      </w:r>
      <w:r w:rsidRPr="00457FA6">
        <w:t xml:space="preserve"> when </w:t>
      </w:r>
      <w:r>
        <w:t>used to treat patients with PAH</w:t>
      </w:r>
      <w:r w:rsidRPr="00944958">
        <w:t>.</w:t>
      </w:r>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Q4.</w:t>
      </w:r>
      <w:r w:rsidRPr="00532B79">
        <w:rPr>
          <w:b w:val="0"/>
          <w:color w:val="auto"/>
          <w:shd w:val="clear" w:color="auto" w:fill="F2F2F2" w:themeFill="background1" w:themeFillShade="F2"/>
        </w:rPr>
        <w:tab/>
        <w:t xml:space="preserve">What is the effectiveness and safety of triple combination therapy involving any combination of an ERA, a PDE 5 inhibitor, a prostanoid, or a sGC stimulator, compared </w:t>
      </w:r>
      <w:r w:rsidR="008F752B">
        <w:rPr>
          <w:b w:val="0"/>
          <w:color w:val="auto"/>
          <w:shd w:val="clear" w:color="auto" w:fill="F2F2F2" w:themeFill="background1" w:themeFillShade="F2"/>
        </w:rPr>
        <w:t xml:space="preserve">to dual combination therapy, </w:t>
      </w:r>
      <w:proofErr w:type="gramStart"/>
      <w:r w:rsidR="008F752B">
        <w:rPr>
          <w:b w:val="0"/>
          <w:color w:val="auto"/>
          <w:shd w:val="clear" w:color="auto" w:fill="F2F2F2" w:themeFill="background1" w:themeFillShade="F2"/>
        </w:rPr>
        <w:t>in</w:t>
      </w:r>
      <w:proofErr w:type="gramEnd"/>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proofErr w:type="spellStart"/>
      <w:r w:rsidRPr="00532B79">
        <w:rPr>
          <w:b w:val="0"/>
          <w:color w:val="auto"/>
          <w:shd w:val="clear" w:color="auto" w:fill="F2F2F2" w:themeFill="background1" w:themeFillShade="F2"/>
        </w:rPr>
        <w:t>i</w:t>
      </w:r>
      <w:proofErr w:type="spellEnd"/>
      <w:r w:rsidRPr="00532B79">
        <w:rPr>
          <w:b w:val="0"/>
          <w:color w:val="auto"/>
          <w:shd w:val="clear" w:color="auto" w:fill="F2F2F2" w:themeFill="background1" w:themeFillShade="F2"/>
        </w:rPr>
        <w:t>)</w:t>
      </w:r>
      <w:r w:rsidRPr="00532B79">
        <w:rPr>
          <w:b w:val="0"/>
          <w:color w:val="auto"/>
          <w:shd w:val="clear" w:color="auto" w:fill="F2F2F2" w:themeFill="background1" w:themeFillShade="F2"/>
        </w:rPr>
        <w:tab/>
        <w:t>PAH patients, irrespective of disease severity or aetiology;</w:t>
      </w:r>
    </w:p>
    <w:p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ii)</w:t>
      </w:r>
      <w:r w:rsidRPr="00532B79">
        <w:rPr>
          <w:b w:val="0"/>
          <w:color w:val="auto"/>
          <w:shd w:val="clear" w:color="auto" w:fill="F2F2F2" w:themeFill="background1" w:themeFillShade="F2"/>
        </w:rPr>
        <w:tab/>
        <w:t xml:space="preserve">PAH patients with FC III or IV; and </w:t>
      </w:r>
    </w:p>
    <w:p w:rsidR="00532B79" w:rsidRPr="00D228A6" w:rsidRDefault="00532B79" w:rsidP="00C21496">
      <w:pPr>
        <w:pStyle w:val="ToRText"/>
        <w:shd w:val="clear" w:color="auto" w:fill="F2F2F2" w:themeFill="background1" w:themeFillShade="F2"/>
        <w:rPr>
          <w:b w:val="0"/>
          <w:color w:val="auto"/>
        </w:rPr>
      </w:pPr>
      <w:r w:rsidRPr="00532B79">
        <w:rPr>
          <w:b w:val="0"/>
          <w:color w:val="auto"/>
          <w:shd w:val="clear" w:color="auto" w:fill="F2F2F2" w:themeFill="background1" w:themeFillShade="F2"/>
        </w:rPr>
        <w:t>iii)</w:t>
      </w:r>
      <w:r w:rsidRPr="00532B79">
        <w:rPr>
          <w:b w:val="0"/>
          <w:color w:val="auto"/>
          <w:shd w:val="clear" w:color="auto" w:fill="F2F2F2" w:themeFill="background1" w:themeFillShade="F2"/>
        </w:rPr>
        <w:tab/>
        <w:t>PAH patients with different disease aetiologies?</w:t>
      </w:r>
    </w:p>
    <w:p w:rsidR="00321DBE" w:rsidRPr="009F466A" w:rsidRDefault="00321DBE" w:rsidP="00C21496">
      <w:pPr>
        <w:pStyle w:val="Heading3"/>
        <w:jc w:val="left"/>
      </w:pPr>
      <w:bookmarkStart w:id="132" w:name="_Toc513110250"/>
      <w:r w:rsidRPr="009F466A">
        <w:t>Effectiveness and safety of triple combination therapy</w:t>
      </w:r>
      <w:bookmarkEnd w:id="131"/>
      <w:bookmarkEnd w:id="132"/>
      <w:r w:rsidRPr="009F466A">
        <w:t xml:space="preserve"> </w:t>
      </w:r>
    </w:p>
    <w:p w:rsidR="00321DBE" w:rsidRPr="009F466A" w:rsidRDefault="00321DBE" w:rsidP="00C21496">
      <w:pPr>
        <w:jc w:val="left"/>
      </w:pPr>
      <w:r w:rsidRPr="009F466A">
        <w:t>There was no comparative evidence concerning the effectiveness and safety of triple combination therapy with PAH medicines relative to dual combination therapy in any patients with PAH.</w:t>
      </w:r>
    </w:p>
    <w:p w:rsidR="00321DBE" w:rsidRPr="009F466A" w:rsidRDefault="0016033A" w:rsidP="00C21496">
      <w:pPr>
        <w:pStyle w:val="Heading3"/>
        <w:jc w:val="left"/>
      </w:pPr>
      <w:bookmarkStart w:id="133" w:name="_Toc513110251"/>
      <w:r>
        <w:t>Extended s</w:t>
      </w:r>
      <w:r w:rsidR="00CD3000" w:rsidRPr="009F466A">
        <w:t>afety assessment</w:t>
      </w:r>
      <w:bookmarkEnd w:id="133"/>
    </w:p>
    <w:p w:rsidR="00321DBE" w:rsidRPr="009F466A" w:rsidRDefault="00321DBE" w:rsidP="00C21496">
      <w:pPr>
        <w:jc w:val="left"/>
      </w:pPr>
      <w:r w:rsidRPr="009F466A">
        <w:t>The key findings</w:t>
      </w:r>
      <w:r w:rsidR="00CD3000" w:rsidRPr="009F466A">
        <w:t xml:space="preserve"> on the</w:t>
      </w:r>
      <w:r w:rsidRPr="009F466A">
        <w:t xml:space="preserve"> </w:t>
      </w:r>
      <w:r w:rsidR="00CD3000" w:rsidRPr="009F466A">
        <w:t xml:space="preserve">safety assessment of PAH medicines </w:t>
      </w:r>
      <w:r w:rsidRPr="009F466A">
        <w:t>are:</w:t>
      </w:r>
    </w:p>
    <w:p w:rsidR="00321DBE" w:rsidRPr="009F466A" w:rsidRDefault="00321DBE" w:rsidP="00C21496">
      <w:pPr>
        <w:pStyle w:val="Bullettext"/>
        <w:spacing w:after="0" w:line="276" w:lineRule="auto"/>
        <w:ind w:left="426" w:hanging="426"/>
      </w:pPr>
      <w:r w:rsidRPr="009F466A">
        <w:t xml:space="preserve">No clear safety signal has been identified on the basis of the safety data from included trials and studies. </w:t>
      </w:r>
    </w:p>
    <w:p w:rsidR="00321DBE" w:rsidRPr="009F466A" w:rsidRDefault="00321DBE" w:rsidP="00C21496">
      <w:pPr>
        <w:pStyle w:val="Bullettext"/>
        <w:spacing w:after="0" w:line="276" w:lineRule="auto"/>
        <w:ind w:left="426" w:hanging="426"/>
      </w:pPr>
      <w:r w:rsidRPr="009F466A">
        <w:t xml:space="preserve">In paediatric patients, sildenafil had a worse safety profile than placebo. AEs occurring more frequently in patients receiving sildenafil, included pyrexia, increased erection, and upper respiratory tract infections. The occurrence of pyrexia, vomiting, and nausea appeared to be dose-related. </w:t>
      </w:r>
    </w:p>
    <w:p w:rsidR="00321DBE" w:rsidRPr="009F466A" w:rsidRDefault="00321DBE" w:rsidP="00C21496">
      <w:pPr>
        <w:pStyle w:val="Bullettext"/>
        <w:spacing w:after="0" w:line="276" w:lineRule="auto"/>
        <w:ind w:left="426" w:hanging="426"/>
      </w:pPr>
      <w:r w:rsidRPr="009F466A">
        <w:t>The proportion of patients with ocular adverse events was generally low and comparable between sildenafil, at its recommended dose (</w:t>
      </w:r>
      <w:proofErr w:type="spellStart"/>
      <w:r w:rsidRPr="009F466A">
        <w:t>ie</w:t>
      </w:r>
      <w:proofErr w:type="spellEnd"/>
      <w:r w:rsidRPr="009F466A">
        <w:t xml:space="preserve"> 20 mg </w:t>
      </w:r>
      <w:r w:rsidR="002B1993">
        <w:t>three times a day</w:t>
      </w:r>
      <w:r w:rsidRPr="009F466A">
        <w:t xml:space="preserve">), and placebo, but with some AEs reported only in patients receiving sildenafil, </w:t>
      </w:r>
      <w:proofErr w:type="spellStart"/>
      <w:r w:rsidRPr="009F466A">
        <w:t>eg</w:t>
      </w:r>
      <w:proofErr w:type="spellEnd"/>
      <w:r w:rsidRPr="009F466A">
        <w:t xml:space="preserve"> retinal haemorrhage (1.4%).</w:t>
      </w:r>
    </w:p>
    <w:p w:rsidR="00321DBE" w:rsidRPr="009F466A" w:rsidRDefault="00321DBE" w:rsidP="00C21496">
      <w:pPr>
        <w:pStyle w:val="Bullettext"/>
        <w:spacing w:after="0" w:line="276" w:lineRule="auto"/>
        <w:ind w:left="426" w:hanging="426"/>
      </w:pPr>
      <w:r w:rsidRPr="009F466A">
        <w:t>Monotherapy with tadalafil was inferior to placebo in terms of safety, with a higher incidence of</w:t>
      </w:r>
      <w:r w:rsidRPr="00505354">
        <w:t xml:space="preserve"> </w:t>
      </w:r>
      <w:r w:rsidRPr="009F466A">
        <w:t xml:space="preserve">overall AEs, diarrhoea, nausea, </w:t>
      </w:r>
      <w:proofErr w:type="spellStart"/>
      <w:r w:rsidRPr="009F466A">
        <w:t>nasopharyngitis</w:t>
      </w:r>
      <w:proofErr w:type="spellEnd"/>
      <w:r w:rsidRPr="009F466A">
        <w:t>, upper respiratory tract infections, myalgia, flushing, dyspepsia and pain in the extremities.</w:t>
      </w:r>
    </w:p>
    <w:p w:rsidR="00321DBE" w:rsidRPr="009F466A" w:rsidRDefault="00321DBE" w:rsidP="00C21496">
      <w:pPr>
        <w:pStyle w:val="Bullettext"/>
        <w:spacing w:after="0" w:line="276" w:lineRule="auto"/>
        <w:ind w:left="426" w:hanging="426"/>
      </w:pPr>
      <w:r w:rsidRPr="009F466A">
        <w:t xml:space="preserve">The included observational studies followed patients for 2 years and above, which reflects the typical prolonged use of PAH medicines in clinical practice. For individual PAH medicines, the safety results from observational studies generally agreed with each other and with the safety results from RCT(s) and post-marketing data included in the product information (PI) documents. </w:t>
      </w:r>
    </w:p>
    <w:p w:rsidR="00321DBE" w:rsidRPr="00505354" w:rsidRDefault="00321DBE" w:rsidP="00C21496">
      <w:pPr>
        <w:pStyle w:val="Bullettext"/>
        <w:spacing w:after="0" w:line="276" w:lineRule="auto"/>
        <w:ind w:left="426" w:hanging="426"/>
      </w:pPr>
      <w:r w:rsidRPr="00505354">
        <w:t xml:space="preserve">Limited data from studies in paediatric PAH patients suggested that, for both bosentan and sildenafil, the safety profile in children with PAH was generally consistent with that in adults. </w:t>
      </w:r>
    </w:p>
    <w:p w:rsidR="00321DBE" w:rsidRPr="009F466A" w:rsidRDefault="00321DBE" w:rsidP="00C21496">
      <w:pPr>
        <w:jc w:val="left"/>
      </w:pPr>
      <w:r w:rsidRPr="009F466A">
        <w:lastRenderedPageBreak/>
        <w:t xml:space="preserve">The potential new safety signals identified by comparing the TGA-approved PI with the </w:t>
      </w:r>
      <w:r w:rsidR="00220EDF" w:rsidRPr="00220EDF">
        <w:t>European Medicines Agency</w:t>
      </w:r>
      <w:r w:rsidR="00220EDF" w:rsidRPr="009F466A">
        <w:t xml:space="preserve"> </w:t>
      </w:r>
      <w:r w:rsidR="00220EDF">
        <w:t>(</w:t>
      </w:r>
      <w:r w:rsidRPr="009F466A">
        <w:t>EMA</w:t>
      </w:r>
      <w:r w:rsidR="00220EDF">
        <w:t>)</w:t>
      </w:r>
      <w:r w:rsidRPr="009F466A">
        <w:t xml:space="preserve"> Summary of Product Characteristics (</w:t>
      </w:r>
      <w:proofErr w:type="spellStart"/>
      <w:r w:rsidRPr="009F466A">
        <w:t>SmPC</w:t>
      </w:r>
      <w:proofErr w:type="spellEnd"/>
      <w:r w:rsidRPr="009F466A">
        <w:t>) and the</w:t>
      </w:r>
      <w:r w:rsidR="00220EDF" w:rsidRPr="00220EDF">
        <w:rPr>
          <w:rFonts w:cs="Arial"/>
          <w:color w:val="FF0000"/>
          <w:sz w:val="22"/>
        </w:rPr>
        <w:t xml:space="preserve"> </w:t>
      </w:r>
      <w:r w:rsidR="00220EDF" w:rsidRPr="00220EDF">
        <w:t>United States Food and Drug Administration</w:t>
      </w:r>
      <w:r w:rsidRPr="009F466A">
        <w:t xml:space="preserve"> </w:t>
      </w:r>
      <w:r w:rsidR="00220EDF">
        <w:t>(</w:t>
      </w:r>
      <w:r w:rsidRPr="009F466A">
        <w:t>FDA</w:t>
      </w:r>
      <w:r w:rsidR="00220EDF">
        <w:t>)</w:t>
      </w:r>
      <w:r w:rsidRPr="009F466A">
        <w:t xml:space="preserve"> </w:t>
      </w:r>
      <w:proofErr w:type="spellStart"/>
      <w:r w:rsidRPr="009F466A">
        <w:t>produ</w:t>
      </w:r>
      <w:r w:rsidR="00DF13EB">
        <w:t>megameg</w:t>
      </w:r>
      <w:r w:rsidRPr="009F466A">
        <w:t>ct</w:t>
      </w:r>
      <w:proofErr w:type="spellEnd"/>
      <w:r w:rsidRPr="009F466A">
        <w:t xml:space="preserve"> label include: </w:t>
      </w:r>
    </w:p>
    <w:p w:rsidR="00321DBE" w:rsidRPr="00505354" w:rsidRDefault="00321DBE" w:rsidP="00C21496">
      <w:pPr>
        <w:pStyle w:val="Bullettext"/>
        <w:spacing w:after="0" w:line="276" w:lineRule="auto"/>
        <w:ind w:left="426" w:hanging="426"/>
      </w:pPr>
      <w:r w:rsidRPr="00505354">
        <w:t>Use of bosentan in patients with chronic obstructive pulmonary disease (increase in minute ventilation, decreased oxygen saturation and dyspnoea).</w:t>
      </w:r>
    </w:p>
    <w:p w:rsidR="00321DBE" w:rsidRPr="00505354" w:rsidRDefault="00321DBE" w:rsidP="00C21496">
      <w:pPr>
        <w:pStyle w:val="Bullettext"/>
        <w:spacing w:after="0" w:line="276" w:lineRule="auto"/>
        <w:ind w:left="426" w:hanging="426"/>
      </w:pPr>
      <w:r w:rsidRPr="00505354">
        <w:t xml:space="preserve">AEs of penile haemorrhage and </w:t>
      </w:r>
      <w:proofErr w:type="spellStart"/>
      <w:r w:rsidRPr="00505354">
        <w:t>haematospermia</w:t>
      </w:r>
      <w:proofErr w:type="spellEnd"/>
      <w:r w:rsidRPr="00505354">
        <w:t xml:space="preserve"> in patients receiving PDE-5 inhibitors (both sildenafil and tadalafil).</w:t>
      </w:r>
    </w:p>
    <w:p w:rsidR="00321DBE" w:rsidRPr="00505354" w:rsidRDefault="00321DBE" w:rsidP="00C21496">
      <w:pPr>
        <w:pStyle w:val="Bullettext"/>
        <w:spacing w:after="0" w:line="276" w:lineRule="auto"/>
        <w:ind w:left="426" w:hanging="426"/>
      </w:pPr>
      <w:r w:rsidRPr="00505354">
        <w:t xml:space="preserve">Potential for </w:t>
      </w:r>
      <w:proofErr w:type="spellStart"/>
      <w:r w:rsidRPr="00505354">
        <w:t>vaso</w:t>
      </w:r>
      <w:proofErr w:type="spellEnd"/>
      <w:r w:rsidRPr="00505354">
        <w:t>-occlusive crises in patients receiving sildenafil for PH secondary to sickle cell anaemia.</w:t>
      </w:r>
    </w:p>
    <w:p w:rsidR="00321DBE" w:rsidRPr="00505354" w:rsidRDefault="00321DBE" w:rsidP="00C21496">
      <w:pPr>
        <w:pStyle w:val="Bullettext"/>
        <w:spacing w:after="0" w:line="276" w:lineRule="auto"/>
        <w:ind w:left="426" w:hanging="426"/>
      </w:pPr>
      <w:r w:rsidRPr="00505354">
        <w:t xml:space="preserve">Intracerebral haemorrhage in tadalafil-treated patients. </w:t>
      </w:r>
    </w:p>
    <w:p w:rsidR="00321DBE" w:rsidRPr="009F466A" w:rsidRDefault="00321DBE" w:rsidP="00C21496">
      <w:pPr>
        <w:pStyle w:val="Bullettext"/>
        <w:spacing w:after="0" w:line="276" w:lineRule="auto"/>
        <w:ind w:left="426" w:hanging="426"/>
      </w:pPr>
      <w:r w:rsidRPr="00505354">
        <w:t>Increased</w:t>
      </w:r>
      <w:r w:rsidRPr="009F466A">
        <w:t xml:space="preserve"> mortality and serious AEs in patients receiving riociguat in treating PH associated with idiopathic interstitial pneumonias. </w:t>
      </w:r>
    </w:p>
    <w:p w:rsidR="00321DBE" w:rsidRPr="009F466A" w:rsidRDefault="00321DBE" w:rsidP="00C21496">
      <w:pPr>
        <w:jc w:val="left"/>
      </w:pPr>
      <w:r w:rsidRPr="009F466A">
        <w:t xml:space="preserve">There was evidence from a long-term observational study suggesting increased mortality with higher sildenafil doses. Sildenafil is not indicated for use in paediatric patients, according to the TGA PI. The FDA product label communicates an apparently lesser strength of warning: use of sildenafil, particularly chronic use, is not recommended in children (namely there may be situations in which the benefit-risk profile of sildenafil may be acceptable in individual children; for example, when other treatment options are limited and sildenafil can be used with close monitoring). The EMA </w:t>
      </w:r>
      <w:proofErr w:type="spellStart"/>
      <w:r w:rsidRPr="009F466A">
        <w:t>SmPC</w:t>
      </w:r>
      <w:proofErr w:type="spellEnd"/>
      <w:r w:rsidRPr="009F466A">
        <w:t xml:space="preserve"> states that sildenafil is indicated for the treatment of children aged 1-17 years of age with PAH, but only at a recommended low dose. The international guidelines do not reach consensus regarding the use of sildenafil in paediatric PAH patients.</w:t>
      </w:r>
    </w:p>
    <w:p w:rsidR="00DE5CA2" w:rsidRPr="009F466A" w:rsidRDefault="00DE5CA2" w:rsidP="00C21496">
      <w:pPr>
        <w:pStyle w:val="Heading3"/>
        <w:jc w:val="left"/>
      </w:pPr>
      <w:bookmarkStart w:id="134" w:name="_Toc513110252"/>
      <w:bookmarkEnd w:id="57"/>
      <w:r w:rsidRPr="009F466A">
        <w:t>Stakeholder views</w:t>
      </w:r>
      <w:bookmarkEnd w:id="134"/>
    </w:p>
    <w:p w:rsidR="00505354" w:rsidRPr="00550857" w:rsidRDefault="00505354" w:rsidP="00C21496">
      <w:pPr>
        <w:pStyle w:val="Bullettext"/>
        <w:spacing w:after="0" w:line="276" w:lineRule="auto"/>
        <w:ind w:left="426" w:hanging="426"/>
      </w:pPr>
      <w:r w:rsidRPr="00550857">
        <w:t>S</w:t>
      </w:r>
      <w:r w:rsidR="008C0BAD">
        <w:t>takeholders s</w:t>
      </w:r>
      <w:r w:rsidRPr="00550857">
        <w:t>ugge</w:t>
      </w:r>
      <w:r w:rsidR="008C0BAD" w:rsidRPr="008C0BAD">
        <w:t>st</w:t>
      </w:r>
      <w:r w:rsidRPr="008C0BAD">
        <w:t xml:space="preserve"> the review should include a review of recent clinical evidence as clinical guidelines</w:t>
      </w:r>
      <w:r w:rsidRPr="00550857">
        <w:t xml:space="preserve"> may not reflect the most recent evidence.</w:t>
      </w:r>
    </w:p>
    <w:p w:rsidR="008C0BAD" w:rsidRPr="00550857" w:rsidRDefault="008C0BAD" w:rsidP="00C21496">
      <w:pPr>
        <w:pStyle w:val="Bullettext"/>
        <w:spacing w:after="0" w:line="276" w:lineRule="auto"/>
        <w:ind w:left="426" w:hanging="426"/>
      </w:pPr>
      <w:r w:rsidRPr="00550857">
        <w:t>S</w:t>
      </w:r>
      <w:r>
        <w:t>takeholders</w:t>
      </w:r>
      <w:r w:rsidRPr="00550857">
        <w:t xml:space="preserve"> </w:t>
      </w:r>
      <w:r>
        <w:t>s</w:t>
      </w:r>
      <w:r w:rsidRPr="00550857">
        <w:t>uggest that decisions regardi</w:t>
      </w:r>
      <w:r>
        <w:t>ng combination therapy for WHO FC</w:t>
      </w:r>
      <w:r w:rsidRPr="00550857">
        <w:t xml:space="preserve"> II patients are assessed based on the evidence from ToR 4.</w:t>
      </w:r>
    </w:p>
    <w:p w:rsidR="00505354" w:rsidRPr="00550857" w:rsidRDefault="008C0BAD" w:rsidP="00C21496">
      <w:pPr>
        <w:pStyle w:val="Bullettext"/>
        <w:spacing w:after="0" w:line="276" w:lineRule="auto"/>
        <w:ind w:left="426" w:hanging="426"/>
      </w:pPr>
      <w:r w:rsidRPr="00550857">
        <w:t>S</w:t>
      </w:r>
      <w:r>
        <w:t>takeholders are</w:t>
      </w:r>
      <w:r w:rsidR="00505354" w:rsidRPr="00550857">
        <w:t xml:space="preserve"> concerned that recent standards of clinically relevant endpoints may be used to re-evaluate evidence previously considered by PBAC, and would not support current medicines being removed from the PBS where such clinical endpoints are lacking from older studies.</w:t>
      </w:r>
    </w:p>
    <w:p w:rsidR="00B7300C" w:rsidRPr="00550857" w:rsidRDefault="009C3E4B" w:rsidP="00C21496">
      <w:pPr>
        <w:pStyle w:val="Bullettext"/>
        <w:spacing w:after="0" w:line="276" w:lineRule="auto"/>
        <w:ind w:left="426" w:hanging="426"/>
      </w:pPr>
      <w:r>
        <w:t>Stakeholders note</w:t>
      </w:r>
      <w:r w:rsidR="00B7300C" w:rsidRPr="00550857">
        <w:t xml:space="preserve"> a shift from short-term functional changes to improvements in long-term outcomes in measuring treatment outcomes, and the need for composite endpoints of disease progression, including morbidity and mortality measures, to be included in assessment of PAH worsening.</w:t>
      </w:r>
    </w:p>
    <w:p w:rsidR="00B7300C" w:rsidRDefault="008C0BAD" w:rsidP="00C21496">
      <w:pPr>
        <w:pStyle w:val="Bullettext"/>
        <w:spacing w:after="0" w:line="276" w:lineRule="auto"/>
        <w:ind w:left="426" w:hanging="426"/>
      </w:pPr>
      <w:r w:rsidRPr="00550857">
        <w:t>S</w:t>
      </w:r>
      <w:r>
        <w:t>takeholders</w:t>
      </w:r>
      <w:r w:rsidRPr="00550857">
        <w:t xml:space="preserve"> </w:t>
      </w:r>
      <w:r>
        <w:t>note</w:t>
      </w:r>
      <w:r w:rsidR="00B7300C" w:rsidRPr="00550857">
        <w:t xml:space="preserve"> there are few RCTs assessing the comparative efficacy and safety of PAH treatments, but provide available evidence for ambrisentan and epoprostenol that is yet to be considered by PBAC, with inclusion of studies pertaining to combination use and use in the FC II patient population.</w:t>
      </w:r>
    </w:p>
    <w:p w:rsidR="008C0BAD" w:rsidRPr="00550857" w:rsidRDefault="008C0BAD" w:rsidP="00C21496">
      <w:pPr>
        <w:pStyle w:val="Bullettext"/>
        <w:numPr>
          <w:ilvl w:val="0"/>
          <w:numId w:val="0"/>
        </w:numPr>
        <w:ind w:left="567"/>
      </w:pPr>
    </w:p>
    <w:p w:rsidR="00505354" w:rsidRPr="009C3E4B" w:rsidRDefault="00505354" w:rsidP="00C21496">
      <w:pPr>
        <w:pStyle w:val="Bullettext"/>
        <w:numPr>
          <w:ilvl w:val="0"/>
          <w:numId w:val="0"/>
        </w:numPr>
        <w:spacing w:before="240"/>
        <w:rPr>
          <w:b/>
        </w:rPr>
      </w:pPr>
      <w:r w:rsidRPr="009C3E4B">
        <w:rPr>
          <w:b/>
        </w:rPr>
        <w:t>Committee in confidence – Start</w:t>
      </w:r>
    </w:p>
    <w:p w:rsidR="00505354" w:rsidRPr="002E6D42" w:rsidRDefault="00A765F3" w:rsidP="00A765F3">
      <w:pPr>
        <w:pStyle w:val="Bullettext"/>
        <w:numPr>
          <w:ilvl w:val="0"/>
          <w:numId w:val="0"/>
        </w:numPr>
        <w:spacing w:after="0" w:line="276" w:lineRule="auto"/>
        <w:ind w:left="426" w:hanging="426"/>
        <w:rPr>
          <w:sz w:val="18"/>
          <w:szCs w:val="18"/>
          <w:highlight w:val="black"/>
        </w:rPr>
      </w:pP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p>
    <w:p w:rsidR="00CD64AB" w:rsidRPr="002E6D42" w:rsidRDefault="00A765F3" w:rsidP="00A765F3">
      <w:pPr>
        <w:pStyle w:val="Bullettext"/>
        <w:numPr>
          <w:ilvl w:val="0"/>
          <w:numId w:val="0"/>
        </w:numPr>
        <w:spacing w:after="0" w:line="276" w:lineRule="auto"/>
        <w:ind w:left="426" w:hanging="426"/>
        <w:rPr>
          <w:sz w:val="18"/>
          <w:szCs w:val="18"/>
          <w:highlight w:val="black"/>
        </w:rPr>
      </w:pP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p>
    <w:p w:rsidR="008C0BAD" w:rsidRPr="002E6D42" w:rsidRDefault="00A765F3" w:rsidP="00A765F3">
      <w:pPr>
        <w:pStyle w:val="Bullettext"/>
        <w:numPr>
          <w:ilvl w:val="0"/>
          <w:numId w:val="0"/>
        </w:numPr>
        <w:spacing w:after="0" w:line="276" w:lineRule="auto"/>
        <w:ind w:left="426" w:hanging="426"/>
        <w:rPr>
          <w:sz w:val="18"/>
          <w:szCs w:val="18"/>
          <w:highlight w:val="black"/>
        </w:rPr>
      </w:pP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r w:rsidRPr="002E6D42">
        <w:rPr>
          <w:rFonts w:ascii="Symbol" w:hAnsi="Symbol"/>
          <w:noProof/>
          <w:color w:val="000000"/>
          <w:sz w:val="18"/>
          <w:szCs w:val="18"/>
          <w:highlight w:val="black"/>
        </w:rPr>
        <w:t></w:t>
      </w:r>
    </w:p>
    <w:p w:rsidR="00505354" w:rsidRPr="00505354" w:rsidRDefault="00505354" w:rsidP="00C21496">
      <w:pPr>
        <w:pStyle w:val="Bullettext"/>
        <w:numPr>
          <w:ilvl w:val="0"/>
          <w:numId w:val="0"/>
        </w:numPr>
        <w:rPr>
          <w:b/>
        </w:rPr>
      </w:pPr>
      <w:r w:rsidRPr="009C3E4B">
        <w:rPr>
          <w:b/>
        </w:rPr>
        <w:t>Committee in confidence - End</w:t>
      </w:r>
    </w:p>
    <w:p w:rsidR="00A31C5E" w:rsidRPr="009F466A" w:rsidRDefault="00A31C5E" w:rsidP="00C21496">
      <w:pPr>
        <w:pStyle w:val="Heading3"/>
        <w:jc w:val="left"/>
      </w:pPr>
      <w:bookmarkStart w:id="135" w:name="_Toc513110253"/>
      <w:r w:rsidRPr="00BC4C2E">
        <w:t>Consumer views</w:t>
      </w:r>
      <w:bookmarkEnd w:id="135"/>
    </w:p>
    <w:p w:rsidR="00345876" w:rsidRPr="00F177DF" w:rsidRDefault="00345876" w:rsidP="00C21496">
      <w:pPr>
        <w:pStyle w:val="Bullettext"/>
        <w:spacing w:after="0" w:line="276" w:lineRule="auto"/>
        <w:ind w:left="426" w:hanging="426"/>
      </w:pPr>
      <w:r w:rsidRPr="00F177DF">
        <w:t xml:space="preserve">Consumers on combination therapy </w:t>
      </w:r>
      <w:r>
        <w:t xml:space="preserve">advised they </w:t>
      </w:r>
      <w:r w:rsidRPr="00F177DF">
        <w:t xml:space="preserve">tended to be using various double and triple combinations of endothelin receptor antagonists with PDE5 inhibitors and prostacyclins. </w:t>
      </w:r>
    </w:p>
    <w:p w:rsidR="00345876" w:rsidRPr="00F177DF" w:rsidRDefault="00345876" w:rsidP="00C21496">
      <w:pPr>
        <w:pStyle w:val="Bullettext"/>
        <w:spacing w:after="0" w:line="276" w:lineRule="auto"/>
        <w:ind w:left="426" w:hanging="426"/>
      </w:pPr>
      <w:r w:rsidRPr="00F177DF">
        <w:t xml:space="preserve">Some consumers participated in drug trials, including for bardoxolone methyl (Catalyst trial) and oral trepostinil, a prostacyclin analogue. </w:t>
      </w:r>
    </w:p>
    <w:p w:rsidR="00345876" w:rsidRPr="00F177DF" w:rsidRDefault="00345876" w:rsidP="00C21496">
      <w:pPr>
        <w:pStyle w:val="Bullettext"/>
        <w:spacing w:after="0" w:line="276" w:lineRule="auto"/>
        <w:ind w:left="426" w:hanging="426"/>
      </w:pPr>
      <w:r w:rsidRPr="00F177DF">
        <w:t>There were reports of patients in the P</w:t>
      </w:r>
      <w:r>
        <w:t>ulmonary Hypertension Association Australia</w:t>
      </w:r>
      <w:r w:rsidRPr="00F177DF">
        <w:t xml:space="preserve"> using selexipag.</w:t>
      </w:r>
    </w:p>
    <w:p w:rsidR="00345876" w:rsidRPr="00F177DF" w:rsidRDefault="00345876" w:rsidP="00C21496">
      <w:pPr>
        <w:pStyle w:val="Bullettext"/>
        <w:spacing w:after="0" w:line="276" w:lineRule="auto"/>
        <w:ind w:left="426" w:hanging="426"/>
      </w:pPr>
      <w:r w:rsidRPr="00F177DF">
        <w:t>Consumers advised that they usually stay on the same medicines and add a further medicine to address worsening symptoms.</w:t>
      </w:r>
    </w:p>
    <w:p w:rsidR="00345876" w:rsidRPr="00F177DF" w:rsidRDefault="00345876" w:rsidP="00C21496">
      <w:pPr>
        <w:pStyle w:val="Bullettext"/>
        <w:spacing w:after="0" w:line="276" w:lineRule="auto"/>
        <w:ind w:left="426" w:hanging="426"/>
      </w:pPr>
      <w:r w:rsidRPr="00F177DF">
        <w:t>Consumers swapped medicines to alleviate side-effects or because they proved ineffective.</w:t>
      </w:r>
    </w:p>
    <w:p w:rsidR="00345876" w:rsidRPr="00F177DF" w:rsidRDefault="00345876" w:rsidP="00C21496">
      <w:pPr>
        <w:pStyle w:val="Bullettext"/>
        <w:spacing w:after="0" w:line="276" w:lineRule="auto"/>
        <w:ind w:left="426" w:hanging="426"/>
      </w:pPr>
      <w:r w:rsidRPr="00F177DF">
        <w:t xml:space="preserve">Consumers mentioned that some </w:t>
      </w:r>
      <w:r w:rsidR="00B66044">
        <w:t>PAH medicines</w:t>
      </w:r>
      <w:r w:rsidR="00070850">
        <w:t xml:space="preserve"> worked better than others.</w:t>
      </w:r>
    </w:p>
    <w:p w:rsidR="00345876" w:rsidRPr="00F177DF" w:rsidRDefault="00345876" w:rsidP="00C21496">
      <w:pPr>
        <w:pStyle w:val="Bullettext"/>
        <w:spacing w:after="0" w:line="276" w:lineRule="auto"/>
        <w:ind w:left="426" w:hanging="426"/>
      </w:pPr>
      <w:r w:rsidRPr="00F177DF">
        <w:t xml:space="preserve">Consumers pointed out that continuous intravenous administration of epoprostenol, while effective, leads to considerable inconvenience and additional cost </w:t>
      </w:r>
      <w:r>
        <w:t xml:space="preserve">for accessories and dressings. </w:t>
      </w:r>
      <w:r w:rsidRPr="00F177DF">
        <w:t xml:space="preserve">In addition there is a risk </w:t>
      </w:r>
      <w:r>
        <w:t xml:space="preserve">of catheter-related infection. </w:t>
      </w:r>
      <w:r w:rsidRPr="00F177DF">
        <w:t>Some consumers reported preferring the nebulised prostacyclins which although had more frequent dosing, were less invasive.</w:t>
      </w:r>
    </w:p>
    <w:p w:rsidR="00345876" w:rsidRPr="00F177DF" w:rsidRDefault="00345876" w:rsidP="00C21496">
      <w:pPr>
        <w:pStyle w:val="Bullettext"/>
        <w:spacing w:after="0" w:line="276" w:lineRule="auto"/>
        <w:ind w:left="426" w:hanging="426"/>
      </w:pPr>
      <w:r w:rsidRPr="00F177DF">
        <w:t>Epoprostenol users generally have a backup infusion pump</w:t>
      </w:r>
      <w:r w:rsidR="009C3E4B">
        <w:t xml:space="preserve"> and intravenous infusion sets.</w:t>
      </w:r>
    </w:p>
    <w:p w:rsidR="00345876" w:rsidRPr="00F177DF" w:rsidRDefault="00345876" w:rsidP="00C21496">
      <w:pPr>
        <w:pStyle w:val="Bullettext"/>
        <w:spacing w:after="0" w:line="276" w:lineRule="auto"/>
        <w:ind w:left="426" w:hanging="426"/>
      </w:pPr>
      <w:r w:rsidRPr="00F177DF">
        <w:t>Consumers noted it is easier to take tablets twice daily than tablets three times daily.</w:t>
      </w:r>
    </w:p>
    <w:p w:rsidR="00345876" w:rsidRPr="00F177DF" w:rsidRDefault="00345876" w:rsidP="00C21496">
      <w:pPr>
        <w:pStyle w:val="Bullettext"/>
        <w:spacing w:after="0" w:line="276" w:lineRule="auto"/>
        <w:ind w:left="426" w:hanging="426"/>
      </w:pPr>
      <w:r w:rsidRPr="00F177DF">
        <w:t>Consumers identified some PAH medicines which did not work in their particular cas</w:t>
      </w:r>
      <w:r>
        <w:t>e</w:t>
      </w:r>
      <w:r w:rsidRPr="00F177DF">
        <w:t xml:space="preserve"> (macitentan x2, si</w:t>
      </w:r>
      <w:r w:rsidR="00CD64AB">
        <w:t xml:space="preserve">ldenafil, iloprost, </w:t>
      </w:r>
      <w:proofErr w:type="spellStart"/>
      <w:r w:rsidR="00CD64AB">
        <w:t>beraprost</w:t>
      </w:r>
      <w:proofErr w:type="spellEnd"/>
      <w:r w:rsidR="00CD64AB">
        <w:t>).</w:t>
      </w:r>
    </w:p>
    <w:p w:rsidR="00345876" w:rsidRPr="00F177DF" w:rsidRDefault="00345876" w:rsidP="00C21496">
      <w:pPr>
        <w:pStyle w:val="Bullettext"/>
        <w:spacing w:after="0" w:line="276" w:lineRule="auto"/>
        <w:ind w:left="426" w:hanging="426"/>
      </w:pPr>
      <w:r w:rsidRPr="00F177DF">
        <w:t>Generally consumers found that PAH medicines did not impact on other medicines.</w:t>
      </w:r>
    </w:p>
    <w:p w:rsidR="00345876" w:rsidRDefault="00345876" w:rsidP="00C21496">
      <w:pPr>
        <w:pStyle w:val="Bullettext"/>
        <w:spacing w:after="0" w:line="276" w:lineRule="auto"/>
        <w:ind w:left="426" w:hanging="426"/>
      </w:pPr>
      <w:r w:rsidRPr="00F177DF">
        <w:t>Some advised they could not take cold/flu medicines or antihistamines or anti-inflammatory medicines</w:t>
      </w:r>
      <w:r>
        <w:t>.</w:t>
      </w:r>
    </w:p>
    <w:p w:rsidR="00C16A76" w:rsidRPr="009F466A" w:rsidRDefault="00C16A76" w:rsidP="00C16A76">
      <w:pPr>
        <w:pStyle w:val="Heading2"/>
        <w:jc w:val="left"/>
      </w:pPr>
      <w:bookmarkStart w:id="136" w:name="_Toc513110254"/>
      <w:bookmarkStart w:id="137" w:name="_Toc486853480"/>
      <w:r>
        <w:lastRenderedPageBreak/>
        <w:t xml:space="preserve">Key findings for </w:t>
      </w:r>
      <w:r w:rsidRPr="009F466A">
        <w:t xml:space="preserve">ToR </w:t>
      </w:r>
      <w:r>
        <w:t>5</w:t>
      </w:r>
      <w:r w:rsidRPr="009F466A">
        <w:t xml:space="preserve">: </w:t>
      </w:r>
      <w:r>
        <w:t>Cost-effectiveness</w:t>
      </w:r>
      <w:bookmarkEnd w:id="136"/>
      <w:r w:rsidRPr="009F466A">
        <w:t xml:space="preserve"> </w:t>
      </w:r>
    </w:p>
    <w:p w:rsidR="00C16A76" w:rsidRDefault="00C16A76" w:rsidP="00C16A76">
      <w:pPr>
        <w:pStyle w:val="ToRinbox"/>
        <w:shd w:val="clear" w:color="auto" w:fill="F2F2F2" w:themeFill="background1" w:themeFillShade="F2"/>
      </w:pPr>
      <w:r w:rsidRPr="009242F2">
        <w:rPr>
          <w:rFonts w:eastAsiaTheme="minorHAnsi" w:cstheme="minorBidi"/>
          <w:szCs w:val="22"/>
        </w:rPr>
        <w:t>Following ToR 1-4, consider reviewing the cost-effectiveness of existing PBS listings for PAH medicines, and in treatment of WHO functional class II and combination treatment in class III and class IV patients.</w:t>
      </w:r>
    </w:p>
    <w:p w:rsidR="00C16A76" w:rsidRDefault="00C16A76" w:rsidP="00C16A76">
      <w:pPr>
        <w:pStyle w:val="Heading3"/>
      </w:pPr>
      <w:bookmarkStart w:id="138" w:name="_Toc513110255"/>
      <w:r w:rsidRPr="0063711F">
        <w:t>Key findings</w:t>
      </w:r>
      <w:bookmarkEnd w:id="138"/>
      <w:r w:rsidRPr="0063711F">
        <w:t xml:space="preserve"> </w:t>
      </w:r>
    </w:p>
    <w:p w:rsidR="00C16A76" w:rsidRPr="00591E58" w:rsidRDefault="00C16A76" w:rsidP="00C16A76">
      <w:pPr>
        <w:pStyle w:val="Bullettext"/>
        <w:spacing w:after="0" w:line="276" w:lineRule="auto"/>
        <w:ind w:left="426" w:hanging="426"/>
      </w:pPr>
      <w:r w:rsidRPr="00591E58">
        <w:t xml:space="preserve">There </w:t>
      </w:r>
      <w:r>
        <w:t>was</w:t>
      </w:r>
      <w:r w:rsidRPr="00591E58">
        <w:t xml:space="preserve"> no new clinical evidence </w:t>
      </w:r>
      <w:r>
        <w:t xml:space="preserve">identified </w:t>
      </w:r>
      <w:r w:rsidRPr="00591E58">
        <w:t>for the use of PAH medicines in monotherapy reporting mortality or quality of life outcomes to inform a new cost-effectiveness assessment of current PBS listed</w:t>
      </w:r>
      <w:r>
        <w:t xml:space="preserve"> PAH</w:t>
      </w:r>
      <w:r w:rsidRPr="00591E58">
        <w:t xml:space="preserve"> medicines</w:t>
      </w:r>
      <w:r>
        <w:t>.</w:t>
      </w:r>
    </w:p>
    <w:p w:rsidR="00C16A76" w:rsidRPr="00591E58" w:rsidRDefault="00C16A76" w:rsidP="00C16A76">
      <w:pPr>
        <w:pStyle w:val="Bullettext"/>
        <w:spacing w:after="0" w:line="276" w:lineRule="auto"/>
        <w:ind w:left="426" w:hanging="426"/>
      </w:pPr>
      <w:r w:rsidRPr="00591E58">
        <w:t>The utilisation review of PBS data indicate</w:t>
      </w:r>
      <w:r>
        <w:t>d</w:t>
      </w:r>
      <w:r w:rsidRPr="00591E58">
        <w:t xml:space="preserve"> that PAH medicines are being used as the sole PBS subsidised PAH therapy</w:t>
      </w:r>
      <w:r>
        <w:t>,</w:t>
      </w:r>
      <w:r w:rsidRPr="00591E58">
        <w:t xml:space="preserve"> consistent w</w:t>
      </w:r>
      <w:r w:rsidR="006A3F98">
        <w:t>ith their current restrictions.</w:t>
      </w:r>
    </w:p>
    <w:p w:rsidR="00C16A76" w:rsidRPr="00591E58" w:rsidRDefault="00C16A76" w:rsidP="00C16A76">
      <w:pPr>
        <w:pStyle w:val="Bullettext"/>
        <w:spacing w:after="0" w:line="276" w:lineRule="auto"/>
        <w:ind w:left="426" w:hanging="426"/>
      </w:pPr>
      <w:r>
        <w:t xml:space="preserve">Overall the use of ERAs is likely to be beneficial for patients in WHO FC II, however there is considerable uncertainty whether the use of PDE-5 inhibitors and </w:t>
      </w:r>
      <w:r w:rsidR="00A765F3">
        <w:rPr>
          <w:noProof/>
          <w:color w:val="000000"/>
          <w:highlight w:val="black"/>
        </w:rPr>
        <w:t>'''''''' '''''''''''''''''''''' '''' ''''''''''''''''''''</w:t>
      </w:r>
      <w:r>
        <w:t>, and there was no evidence found to support monotherapy use of prostanoids in patients presenting in WHO FC I or II.</w:t>
      </w:r>
    </w:p>
    <w:p w:rsidR="006A3F98" w:rsidRPr="006A3F98" w:rsidRDefault="006A3F98" w:rsidP="006A3F98">
      <w:pPr>
        <w:pStyle w:val="Bullettext"/>
        <w:spacing w:after="0" w:line="276" w:lineRule="auto"/>
        <w:ind w:left="426" w:hanging="426"/>
      </w:pPr>
      <w:r w:rsidRPr="006A3F98">
        <w:t xml:space="preserve">While there is trial evidence to support dual PAH therapy over monotherapy, it varies according to the various combinations, and is overall inconclusive for the sub-groups of patients treated in WHO FC III and IV. However, these sub-groups were small and potentially underpowered to report significant differences between treatment arms. </w:t>
      </w:r>
    </w:p>
    <w:p w:rsidR="006A3F98" w:rsidRPr="006A3F98" w:rsidRDefault="006A3F98" w:rsidP="006A3F98">
      <w:pPr>
        <w:pStyle w:val="Bullettext"/>
        <w:spacing w:after="0" w:line="276" w:lineRule="auto"/>
        <w:ind w:left="426" w:hanging="426"/>
      </w:pPr>
      <w:r w:rsidRPr="006A3F98">
        <w:t xml:space="preserve">Several trials </w:t>
      </w:r>
      <w:r w:rsidR="00A765F3">
        <w:rPr>
          <w:noProof/>
          <w:color w:val="000000"/>
          <w:highlight w:val="black"/>
        </w:rPr>
        <w:t>'''''''''''''''''''''</w:t>
      </w:r>
      <w:r w:rsidRPr="006A3F98">
        <w:t xml:space="preserve">, HAN 2017, COMBI, </w:t>
      </w:r>
      <w:r w:rsidR="00A765F3">
        <w:rPr>
          <w:noProof/>
          <w:color w:val="000000"/>
          <w:highlight w:val="black"/>
        </w:rPr>
        <w:t>'''''''''''''''''''</w:t>
      </w:r>
      <w:r w:rsidRPr="006A3F98">
        <w:t xml:space="preserve"> measured change in quality of life in patients (FC II-IV) treated with combinations of: </w:t>
      </w:r>
      <w:r w:rsidR="00A765F3">
        <w:rPr>
          <w:noProof/>
          <w:color w:val="000000"/>
          <w:highlight w:val="black"/>
        </w:rPr>
        <w:t>''''''''' '''''''' ''''''''''' '''''''''''''''''</w:t>
      </w:r>
      <w:r w:rsidRPr="006A3F98">
        <w:t xml:space="preserve">; ERA and prostanoids; and </w:t>
      </w:r>
      <w:r w:rsidR="00A765F3">
        <w:rPr>
          <w:noProof/>
          <w:color w:val="000000"/>
          <w:highlight w:val="black"/>
        </w:rPr>
        <w:t>'''''''' ''''''''''' '''' '''''''' ''''''''''''''''''''</w:t>
      </w:r>
      <w:r w:rsidRPr="006A3F98">
        <w:t>. All trials reported significant improvements in quality of life in patients treated with combination therapy compared to monotherapy.</w:t>
      </w:r>
    </w:p>
    <w:p w:rsidR="00C16A76" w:rsidRPr="00591E58" w:rsidRDefault="00C16A76" w:rsidP="00C16A76">
      <w:pPr>
        <w:pStyle w:val="Bullettext"/>
        <w:spacing w:after="0" w:line="276" w:lineRule="auto"/>
        <w:ind w:left="426" w:hanging="426"/>
      </w:pPr>
      <w:r w:rsidRPr="00591E58">
        <w:t>There was no evidence identified in the systematic review of PBS listed PAH medicines that reported on the effectiveness of triple combination therapy compared to dual combination therapy.</w:t>
      </w:r>
    </w:p>
    <w:p w:rsidR="00C16A76" w:rsidRPr="00591E58" w:rsidRDefault="00C16A76" w:rsidP="00C16A76">
      <w:pPr>
        <w:pStyle w:val="Bullettext"/>
        <w:spacing w:after="0" w:line="276" w:lineRule="auto"/>
        <w:ind w:left="426" w:hanging="426"/>
      </w:pPr>
      <w:r>
        <w:t>PBAC has not received a submission requesting subsidised access to PAH specific medicines for patients presenting in WHO FC II.</w:t>
      </w:r>
    </w:p>
    <w:p w:rsidR="00C16A76" w:rsidRDefault="00C16A76" w:rsidP="00C16A76">
      <w:pPr>
        <w:pStyle w:val="Bullettext"/>
        <w:spacing w:after="0" w:line="276" w:lineRule="auto"/>
        <w:ind w:left="426" w:hanging="426"/>
      </w:pPr>
      <w:r w:rsidRPr="00591E58">
        <w:t>The PBAC has considered a submission for selexipag in combination with an ERA and</w:t>
      </w:r>
      <w:r>
        <w:t>/</w:t>
      </w:r>
      <w:r w:rsidRPr="00591E58">
        <w:t>or PDE-5 inhibitor. PBAC has rejected this submission on two occasions due to high and uncertain cost effectiveness in the requested dual and triple combinations.</w:t>
      </w:r>
    </w:p>
    <w:p w:rsidR="00C16A76" w:rsidRDefault="00C16A76" w:rsidP="00C16A76">
      <w:pPr>
        <w:pStyle w:val="Bullettext"/>
        <w:spacing w:after="0" w:line="276" w:lineRule="auto"/>
        <w:ind w:left="426" w:hanging="426"/>
      </w:pPr>
      <w:r w:rsidRPr="00591E58">
        <w:t>Due to patent expiry</w:t>
      </w:r>
      <w:r>
        <w:t xml:space="preserve"> and movement to Formulary 2</w:t>
      </w:r>
      <w:r w:rsidRPr="00591E58">
        <w:t>, the original PBS prices for bosentan, epoprostenol</w:t>
      </w:r>
      <w:r w:rsidR="006D6BFD">
        <w:t xml:space="preserve"> and</w:t>
      </w:r>
      <w:r w:rsidRPr="00591E58">
        <w:t xml:space="preserve"> sildenafil </w:t>
      </w:r>
      <w:bookmarkStart w:id="139" w:name="_GoBack"/>
      <w:bookmarkEnd w:id="139"/>
      <w:r w:rsidRPr="00591E58">
        <w:t>are now lower than when originally listed and are likely to fall further due to PBS price disclosure mechanisms.</w:t>
      </w:r>
    </w:p>
    <w:p w:rsidR="00C16A76" w:rsidRDefault="00C16A76" w:rsidP="006A3F98">
      <w:pPr>
        <w:pStyle w:val="Bullettext"/>
      </w:pPr>
      <w:r w:rsidRPr="00C16A76">
        <w:t>Cost-effectiveness may be acceptable for dual combination therapy involving currently listed PBS PAH medicines that have moved to Formulary 2 (F2), given they are now listed at lower</w:t>
      </w:r>
      <w:r w:rsidRPr="00415CEA">
        <w:t xml:space="preserve"> prices than their original cost-effective price in monotherapy.</w:t>
      </w:r>
      <w:r w:rsidR="006A3F98">
        <w:t xml:space="preserve"> </w:t>
      </w:r>
      <w:r w:rsidR="006A3F98" w:rsidRPr="006A3F98">
        <w:t>Noting non-</w:t>
      </w:r>
      <w:r w:rsidR="006A3F98" w:rsidRPr="006A3F98">
        <w:lastRenderedPageBreak/>
        <w:t>inferior safety and some clinical benefit would need to be accepted, as combination therapy would result in an additional net cost to the PBS.</w:t>
      </w:r>
    </w:p>
    <w:p w:rsidR="001960CE" w:rsidRPr="001960CE" w:rsidRDefault="001960CE" w:rsidP="001960CE">
      <w:pPr>
        <w:pStyle w:val="Heading2"/>
        <w:jc w:val="left"/>
      </w:pPr>
      <w:bookmarkStart w:id="140" w:name="_Toc509915192"/>
      <w:bookmarkStart w:id="141" w:name="_Toc513110256"/>
      <w:r w:rsidRPr="001960CE">
        <w:t>PAH Review Options</w:t>
      </w:r>
      <w:bookmarkEnd w:id="140"/>
      <w:bookmarkEnd w:id="141"/>
    </w:p>
    <w:p w:rsidR="001960CE" w:rsidRPr="005B6C8E" w:rsidRDefault="001960CE" w:rsidP="001960CE">
      <w:pPr>
        <w:keepNext/>
        <w:keepLines/>
        <w:jc w:val="left"/>
        <w:rPr>
          <w:rFonts w:eastAsia="Calibri"/>
          <w:szCs w:val="24"/>
        </w:rPr>
      </w:pPr>
      <w:r w:rsidRPr="005B6C8E">
        <w:rPr>
          <w:rFonts w:eastAsia="Calibri"/>
          <w:szCs w:val="24"/>
        </w:rPr>
        <w:t>The Reference Group has considered the evidence review and the stakeholder input and proposes the following options for PBAC to consider. DUSC and ESC will also provide advice on the following review options.</w:t>
      </w:r>
    </w:p>
    <w:p w:rsidR="001960CE" w:rsidRPr="005B6C8E" w:rsidRDefault="001960CE" w:rsidP="001960CE">
      <w:pPr>
        <w:keepNext/>
        <w:keepLines/>
        <w:jc w:val="left"/>
        <w:rPr>
          <w:rFonts w:eastAsia="Calibri"/>
          <w:szCs w:val="24"/>
        </w:rPr>
      </w:pPr>
      <w:r w:rsidRPr="005B6C8E">
        <w:rPr>
          <w:rFonts w:eastAsia="Calibri"/>
          <w:szCs w:val="24"/>
        </w:rPr>
        <w:t>The Reference Group noted that any alteration to the restrictions surrounding the PBS listing of PAH targeted medicines would need to consider the impact on the cost-effectiveness of each PAH medicine.</w:t>
      </w:r>
    </w:p>
    <w:p w:rsidR="001960CE" w:rsidRPr="001960CE" w:rsidRDefault="001960CE" w:rsidP="001960CE">
      <w:pPr>
        <w:pStyle w:val="Heading3"/>
      </w:pPr>
      <w:bookmarkStart w:id="142" w:name="_Toc513110257"/>
      <w:r w:rsidRPr="001960CE">
        <w:t>PBS options</w:t>
      </w:r>
      <w:bookmarkEnd w:id="142"/>
    </w:p>
    <w:p w:rsidR="001960CE" w:rsidRPr="001960CE" w:rsidRDefault="001960CE" w:rsidP="001960CE">
      <w:pPr>
        <w:pStyle w:val="Heading4"/>
      </w:pPr>
      <w:proofErr w:type="gramStart"/>
      <w:r w:rsidRPr="001960CE">
        <w:t>Option 1 – Extend PBS restrictions for ERA’s, PDE-5 inhibitors and sGC stimulators to include monotherapy for patients presenting with WHO Functional Class II symptoms.</w:t>
      </w:r>
      <w:proofErr w:type="gramEnd"/>
      <w:r w:rsidRPr="001960CE">
        <w:t xml:space="preserve"> </w:t>
      </w:r>
    </w:p>
    <w:p w:rsidR="001960CE" w:rsidRPr="005B6C8E" w:rsidRDefault="001960CE" w:rsidP="001960CE">
      <w:pPr>
        <w:jc w:val="left"/>
        <w:rPr>
          <w:b/>
          <w:szCs w:val="24"/>
        </w:rPr>
      </w:pPr>
      <w:r w:rsidRPr="005B6C8E">
        <w:rPr>
          <w:szCs w:val="24"/>
          <w:u w:val="single"/>
        </w:rPr>
        <w:t>Current TGA</w:t>
      </w:r>
      <w:r>
        <w:rPr>
          <w:szCs w:val="24"/>
          <w:u w:val="single"/>
        </w:rPr>
        <w:t xml:space="preserve"> registration</w:t>
      </w:r>
      <w:r w:rsidRPr="005B6C8E">
        <w:rPr>
          <w:szCs w:val="24"/>
          <w:u w:val="single"/>
        </w:rPr>
        <w:t xml:space="preserve">/PBS restrictions for PAH medicines in WHO FC </w:t>
      </w:r>
      <w:proofErr w:type="spellStart"/>
      <w:r w:rsidRPr="005B6C8E">
        <w:rPr>
          <w:szCs w:val="24"/>
          <w:u w:val="single"/>
        </w:rPr>
        <w:t>ll</w:t>
      </w:r>
      <w:proofErr w:type="spellEnd"/>
    </w:p>
    <w:p w:rsidR="001960CE" w:rsidRPr="005B6C8E" w:rsidRDefault="001960CE" w:rsidP="001960CE">
      <w:pPr>
        <w:keepNext/>
        <w:keepLines/>
        <w:jc w:val="left"/>
        <w:rPr>
          <w:szCs w:val="24"/>
        </w:rPr>
      </w:pPr>
      <w:r w:rsidRPr="005B6C8E">
        <w:rPr>
          <w:szCs w:val="24"/>
        </w:rPr>
        <w:t>The following PBS subsidised PAH medicines</w:t>
      </w:r>
      <w:r>
        <w:rPr>
          <w:szCs w:val="24"/>
        </w:rPr>
        <w:t xml:space="preserve"> include</w:t>
      </w:r>
      <w:r w:rsidRPr="005B6C8E">
        <w:rPr>
          <w:szCs w:val="24"/>
        </w:rPr>
        <w:t xml:space="preserve">: ERAs (macitentan/ambrisentan/bosentan), PDE-5 inhibitors (sildenafil/tadalafil) and sGC </w:t>
      </w:r>
      <w:r>
        <w:rPr>
          <w:szCs w:val="24"/>
        </w:rPr>
        <w:t>stimulators</w:t>
      </w:r>
      <w:r w:rsidRPr="005B6C8E">
        <w:rPr>
          <w:szCs w:val="24"/>
        </w:rPr>
        <w:t xml:space="preserve"> (riociguat) are TGA registered for use in WHO Functional Class II PAH, however they are not PBS subsidised for use in WHO FC II. The clinical criteria from the PBS restrictions for these medicines referencing WHO Functional Class</w:t>
      </w:r>
      <w:r>
        <w:rPr>
          <w:szCs w:val="24"/>
        </w:rPr>
        <w:t xml:space="preserve"> follows:</w:t>
      </w:r>
    </w:p>
    <w:p w:rsidR="001960CE" w:rsidRPr="005B6C8E" w:rsidRDefault="001960CE" w:rsidP="001960CE">
      <w:pPr>
        <w:pStyle w:val="NormalWeb"/>
        <w:widowControl w:val="0"/>
        <w:numPr>
          <w:ilvl w:val="0"/>
          <w:numId w:val="39"/>
        </w:numPr>
        <w:adjustRightInd w:val="0"/>
        <w:spacing w:before="0" w:beforeAutospacing="0" w:after="150" w:afterAutospacing="0" w:line="300" w:lineRule="atLeast"/>
        <w:jc w:val="left"/>
        <w:textAlignment w:val="baseline"/>
        <w:rPr>
          <w:rFonts w:ascii="Calibri" w:hAnsi="Calibri" w:cs="Arial"/>
          <w:i/>
        </w:rPr>
      </w:pPr>
      <w:r w:rsidRPr="005B6C8E">
        <w:rPr>
          <w:rFonts w:ascii="Calibri" w:hAnsi="Calibri" w:cs="Arial"/>
          <w:i/>
        </w:rPr>
        <w:t xml:space="preserve">Patient must have WHO Functional Class III idiopathic pulmonary arterial hypertension (iPAH) or anorexigen-induced PAH or hereditable PAH; OR </w:t>
      </w:r>
    </w:p>
    <w:p w:rsidR="001960CE" w:rsidRPr="005B6C8E" w:rsidRDefault="001960CE" w:rsidP="001960CE">
      <w:pPr>
        <w:pStyle w:val="NormalWeb"/>
        <w:widowControl w:val="0"/>
        <w:numPr>
          <w:ilvl w:val="0"/>
          <w:numId w:val="40"/>
        </w:numPr>
        <w:adjustRightInd w:val="0"/>
        <w:spacing w:before="0" w:beforeAutospacing="0" w:after="150" w:afterAutospacing="0" w:line="300" w:lineRule="atLeast"/>
        <w:jc w:val="left"/>
        <w:textAlignment w:val="baseline"/>
        <w:rPr>
          <w:rFonts w:ascii="Calibri" w:hAnsi="Calibri" w:cs="Arial"/>
          <w:i/>
        </w:rPr>
      </w:pPr>
      <w:r w:rsidRPr="005B6C8E">
        <w:rPr>
          <w:rFonts w:ascii="Calibri" w:hAnsi="Calibri" w:cs="Arial"/>
          <w:i/>
        </w:rPr>
        <w:t>Patient must have WHO Functional Class III pulmonary arterial hypertension secondary to connective tissue disease</w:t>
      </w:r>
    </w:p>
    <w:p w:rsidR="001960CE" w:rsidRPr="005B6C8E" w:rsidRDefault="001960CE" w:rsidP="001960CE">
      <w:pPr>
        <w:spacing w:before="120"/>
        <w:ind w:left="360" w:hanging="360"/>
        <w:jc w:val="left"/>
        <w:rPr>
          <w:szCs w:val="24"/>
          <w:u w:val="single"/>
        </w:rPr>
      </w:pPr>
      <w:r w:rsidRPr="005B6C8E">
        <w:rPr>
          <w:szCs w:val="24"/>
          <w:u w:val="single"/>
        </w:rPr>
        <w:t>Issues for consideration</w:t>
      </w:r>
    </w:p>
    <w:p w:rsidR="001960CE" w:rsidRPr="005B6C8E" w:rsidRDefault="001960CE" w:rsidP="001960CE">
      <w:pPr>
        <w:pStyle w:val="ListParagraph"/>
        <w:widowControl w:val="0"/>
        <w:numPr>
          <w:ilvl w:val="0"/>
          <w:numId w:val="38"/>
        </w:numPr>
        <w:adjustRightInd w:val="0"/>
        <w:spacing w:after="120"/>
        <w:jc w:val="left"/>
        <w:textAlignment w:val="baseline"/>
      </w:pPr>
      <w:r w:rsidRPr="005B6C8E">
        <w:rPr>
          <w:rFonts w:cs="Arial"/>
          <w:color w:val="222222"/>
        </w:rPr>
        <w:t xml:space="preserve">The current PBS restrictions do not align with clinical guidelines, </w:t>
      </w:r>
      <w:r w:rsidRPr="005B6C8E">
        <w:t xml:space="preserve">limiting the use of PBS subsidised PAH medicines to patients in WHO FC III-IV at the time they initiate treatment. The 2015 ERS/ERC guidelines and the CHEST guideline both recommend monotherapy for patients in WHO FC II with oral medicines (PDE-5 inhibitors, ERAs and sGC </w:t>
      </w:r>
      <w:r>
        <w:t>stimulators).</w:t>
      </w:r>
    </w:p>
    <w:p w:rsidR="001960CE" w:rsidRPr="00241F40" w:rsidRDefault="001960CE" w:rsidP="001960CE">
      <w:pPr>
        <w:pStyle w:val="ListParagraph"/>
        <w:widowControl w:val="0"/>
        <w:numPr>
          <w:ilvl w:val="0"/>
          <w:numId w:val="38"/>
        </w:numPr>
        <w:adjustRightInd w:val="0"/>
        <w:spacing w:after="120"/>
        <w:jc w:val="left"/>
        <w:textAlignment w:val="baseline"/>
        <w:rPr>
          <w:rFonts w:eastAsia="Calibri"/>
        </w:rPr>
      </w:pPr>
      <w:r>
        <w:rPr>
          <w:szCs w:val="24"/>
        </w:rPr>
        <w:t>These c</w:t>
      </w:r>
      <w:r w:rsidRPr="005B6C8E">
        <w:rPr>
          <w:szCs w:val="24"/>
        </w:rPr>
        <w:t xml:space="preserve">linical guidelines consider an assessment of a patient’s risk of disease </w:t>
      </w:r>
      <w:r w:rsidRPr="005B6C8E">
        <w:rPr>
          <w:rFonts w:eastAsia="Calibri"/>
          <w:szCs w:val="24"/>
        </w:rPr>
        <w:t xml:space="preserve">deterioration or prognosis as key </w:t>
      </w:r>
      <w:r>
        <w:rPr>
          <w:rFonts w:eastAsia="Calibri"/>
          <w:szCs w:val="24"/>
        </w:rPr>
        <w:t>to the</w:t>
      </w:r>
      <w:r w:rsidRPr="005B6C8E">
        <w:rPr>
          <w:rFonts w:eastAsia="Calibri"/>
          <w:szCs w:val="24"/>
        </w:rPr>
        <w:t xml:space="preserve"> determination of </w:t>
      </w:r>
      <w:r>
        <w:rPr>
          <w:rFonts w:eastAsia="Calibri"/>
          <w:szCs w:val="24"/>
        </w:rPr>
        <w:t xml:space="preserve">initial pharmacotherapy. However, </w:t>
      </w:r>
      <w:r w:rsidRPr="005B6C8E">
        <w:rPr>
          <w:rFonts w:eastAsia="Calibri"/>
          <w:szCs w:val="24"/>
        </w:rPr>
        <w:t>PBS restrictions</w:t>
      </w:r>
      <w:r>
        <w:rPr>
          <w:rFonts w:eastAsia="Calibri"/>
          <w:szCs w:val="24"/>
        </w:rPr>
        <w:t>,</w:t>
      </w:r>
      <w:r w:rsidRPr="005B6C8E">
        <w:rPr>
          <w:rFonts w:eastAsia="Calibri"/>
          <w:szCs w:val="24"/>
        </w:rPr>
        <w:t xml:space="preserve"> TGA indications</w:t>
      </w:r>
      <w:r>
        <w:rPr>
          <w:rFonts w:eastAsia="Calibri"/>
          <w:szCs w:val="24"/>
        </w:rPr>
        <w:t xml:space="preserve"> and trial populations</w:t>
      </w:r>
      <w:r w:rsidRPr="005B6C8E">
        <w:rPr>
          <w:rFonts w:eastAsia="Calibri"/>
          <w:szCs w:val="24"/>
        </w:rPr>
        <w:t xml:space="preserve"> are silent on risk. </w:t>
      </w:r>
      <w:r>
        <w:rPr>
          <w:rFonts w:eastAsia="Calibri"/>
          <w:szCs w:val="24"/>
        </w:rPr>
        <w:t xml:space="preserve">Patients in </w:t>
      </w:r>
      <w:r w:rsidRPr="005B6C8E">
        <w:rPr>
          <w:rFonts w:eastAsia="Calibri"/>
          <w:szCs w:val="24"/>
        </w:rPr>
        <w:t xml:space="preserve">WHO FC II PAH </w:t>
      </w:r>
      <w:r>
        <w:rPr>
          <w:rFonts w:eastAsia="Calibri"/>
          <w:szCs w:val="24"/>
        </w:rPr>
        <w:t>may be</w:t>
      </w:r>
      <w:r w:rsidRPr="005B6C8E">
        <w:rPr>
          <w:rFonts w:eastAsia="Calibri"/>
          <w:szCs w:val="24"/>
        </w:rPr>
        <w:t xml:space="preserve"> considered</w:t>
      </w:r>
      <w:r>
        <w:rPr>
          <w:rFonts w:eastAsia="Calibri"/>
          <w:szCs w:val="24"/>
        </w:rPr>
        <w:t xml:space="preserve"> to be at </w:t>
      </w:r>
      <w:r w:rsidRPr="005B6C8E">
        <w:rPr>
          <w:rFonts w:eastAsia="Calibri"/>
          <w:szCs w:val="24"/>
        </w:rPr>
        <w:t xml:space="preserve">low </w:t>
      </w:r>
      <w:r>
        <w:rPr>
          <w:rFonts w:eastAsia="Calibri"/>
          <w:szCs w:val="24"/>
        </w:rPr>
        <w:t xml:space="preserve">or </w:t>
      </w:r>
      <w:r w:rsidRPr="005B6C8E">
        <w:rPr>
          <w:rFonts w:eastAsia="Calibri"/>
          <w:szCs w:val="24"/>
        </w:rPr>
        <w:t xml:space="preserve">intermediate risk </w:t>
      </w:r>
      <w:r>
        <w:rPr>
          <w:rFonts w:eastAsia="Calibri"/>
          <w:szCs w:val="24"/>
        </w:rPr>
        <w:t>and ERS/ERC clinical guidelines support initial monotherapy for low risk treatment naïve patients.</w:t>
      </w:r>
    </w:p>
    <w:p w:rsidR="001960CE" w:rsidRPr="008412EB" w:rsidRDefault="001960CE" w:rsidP="001960CE">
      <w:pPr>
        <w:pStyle w:val="ListParagraph"/>
        <w:widowControl w:val="0"/>
        <w:numPr>
          <w:ilvl w:val="0"/>
          <w:numId w:val="38"/>
        </w:numPr>
        <w:adjustRightInd w:val="0"/>
        <w:spacing w:after="120"/>
        <w:jc w:val="left"/>
        <w:textAlignment w:val="baseline"/>
        <w:rPr>
          <w:rFonts w:eastAsia="Calibri"/>
        </w:rPr>
      </w:pPr>
      <w:r>
        <w:rPr>
          <w:rFonts w:eastAsia="Calibri"/>
          <w:szCs w:val="24"/>
        </w:rPr>
        <w:lastRenderedPageBreak/>
        <w:t>T</w:t>
      </w:r>
      <w:r w:rsidRPr="005B6C8E">
        <w:rPr>
          <w:rFonts w:eastAsia="Calibri"/>
          <w:szCs w:val="24"/>
        </w:rPr>
        <w:t xml:space="preserve">here is no single set of criteria universally recommended to assess PAH risk </w:t>
      </w:r>
      <w:r>
        <w:rPr>
          <w:rFonts w:eastAsia="Calibri"/>
          <w:szCs w:val="24"/>
        </w:rPr>
        <w:t>of disease deterioration</w:t>
      </w:r>
      <w:r w:rsidRPr="005B6C8E">
        <w:rPr>
          <w:rFonts w:eastAsia="Calibri"/>
          <w:szCs w:val="24"/>
        </w:rPr>
        <w:t>.</w:t>
      </w:r>
    </w:p>
    <w:p w:rsidR="001960CE" w:rsidRPr="00267078" w:rsidRDefault="001960CE" w:rsidP="001960CE">
      <w:pPr>
        <w:pStyle w:val="ListParagraph"/>
        <w:widowControl w:val="0"/>
        <w:numPr>
          <w:ilvl w:val="0"/>
          <w:numId w:val="38"/>
        </w:numPr>
        <w:adjustRightInd w:val="0"/>
        <w:spacing w:after="120"/>
        <w:jc w:val="left"/>
        <w:textAlignment w:val="baseline"/>
        <w:rPr>
          <w:rFonts w:eastAsia="Calibri"/>
        </w:rPr>
      </w:pPr>
      <w:r w:rsidRPr="00267078">
        <w:rPr>
          <w:rFonts w:eastAsia="Calibri"/>
        </w:rPr>
        <w:t xml:space="preserve">The systematic review conducted in TOR 4 identified the following evidence to support the use of PAH medicines in patients presenting in WHO FC l or </w:t>
      </w:r>
      <w:proofErr w:type="spellStart"/>
      <w:r w:rsidRPr="00267078">
        <w:rPr>
          <w:rFonts w:eastAsia="Calibri"/>
        </w:rPr>
        <w:t>ll</w:t>
      </w:r>
      <w:proofErr w:type="spellEnd"/>
      <w:r w:rsidRPr="00267078">
        <w:rPr>
          <w:rFonts w:eastAsia="Calibri"/>
        </w:rPr>
        <w:t>:</w:t>
      </w:r>
    </w:p>
    <w:p w:rsidR="001960CE" w:rsidRPr="00267078" w:rsidRDefault="001960CE" w:rsidP="001960CE">
      <w:pPr>
        <w:pStyle w:val="ListParagraph"/>
        <w:widowControl w:val="0"/>
        <w:numPr>
          <w:ilvl w:val="0"/>
          <w:numId w:val="44"/>
        </w:numPr>
        <w:adjustRightInd w:val="0"/>
        <w:contextualSpacing w:val="0"/>
        <w:jc w:val="left"/>
        <w:textAlignment w:val="baseline"/>
      </w:pPr>
      <w:r w:rsidRPr="00267078">
        <w:rPr>
          <w:szCs w:val="24"/>
        </w:rPr>
        <w:t xml:space="preserve">Four RCTs compared </w:t>
      </w:r>
      <w:r w:rsidRPr="00267078">
        <w:t>ERAs to placebo and all reported ERAs to significantly reduce clinical worsening</w:t>
      </w:r>
      <w:r>
        <w:t>. T</w:t>
      </w:r>
      <w:r w:rsidRPr="00267078">
        <w:t xml:space="preserve">wo trials reported improvement in WHO FC following treatment, and two of three trials reported significant improvements in 6MWD. </w:t>
      </w:r>
      <w:r w:rsidRPr="00013D64">
        <w:t xml:space="preserve">Two trials found no significant difference in </w:t>
      </w:r>
      <w:proofErr w:type="spellStart"/>
      <w:r w:rsidRPr="00013D64">
        <w:t>all cause</w:t>
      </w:r>
      <w:proofErr w:type="spellEnd"/>
      <w:r w:rsidRPr="00013D64">
        <w:t xml:space="preserve"> mortality when treated with bosentan or macitentan compared to placebo</w:t>
      </w:r>
      <w:r>
        <w:t>, however these trials may not have been powered to detect a mortality difference.</w:t>
      </w:r>
    </w:p>
    <w:p w:rsidR="001960CE" w:rsidRPr="00267078" w:rsidRDefault="001960CE" w:rsidP="001960CE">
      <w:pPr>
        <w:pStyle w:val="ListParagraph"/>
        <w:widowControl w:val="0"/>
        <w:numPr>
          <w:ilvl w:val="0"/>
          <w:numId w:val="44"/>
        </w:numPr>
        <w:adjustRightInd w:val="0"/>
        <w:contextualSpacing w:val="0"/>
        <w:jc w:val="left"/>
        <w:textAlignment w:val="baseline"/>
      </w:pPr>
      <w:r w:rsidRPr="00267078">
        <w:t xml:space="preserve">Three trials and two cohort studies compared PDE-5 inhibitor monotherapy to placebo in WHO FC </w:t>
      </w:r>
      <w:proofErr w:type="spellStart"/>
      <w:r w:rsidRPr="00267078">
        <w:t>ll</w:t>
      </w:r>
      <w:proofErr w:type="spellEnd"/>
      <w:r w:rsidRPr="00267078">
        <w:t xml:space="preserve"> and all studies were </w:t>
      </w:r>
      <w:r>
        <w:t>assessed as</w:t>
      </w:r>
      <w:r w:rsidRPr="00267078">
        <w:t xml:space="preserve"> low quality. There were no statistically significant improvements in WHO FC or mortality. Two studies reported improvements in 6MWD, and for one study this difference was clinically significant. </w:t>
      </w:r>
    </w:p>
    <w:p w:rsidR="001960CE" w:rsidRPr="00F73FB7" w:rsidRDefault="001960CE" w:rsidP="001960CE">
      <w:pPr>
        <w:pStyle w:val="ListParagraph"/>
        <w:widowControl w:val="0"/>
        <w:numPr>
          <w:ilvl w:val="0"/>
          <w:numId w:val="44"/>
        </w:numPr>
        <w:adjustRightInd w:val="0"/>
        <w:contextualSpacing w:val="0"/>
        <w:jc w:val="left"/>
        <w:textAlignment w:val="baseline"/>
      </w:pPr>
      <w:r w:rsidRPr="00F73FB7">
        <w:t xml:space="preserve">One RCT compared the use of sGC stimulator medication to placebo in patients with WHO FC I/II PAH. </w:t>
      </w:r>
      <w:r w:rsidR="00A765F3">
        <w:rPr>
          <w:noProof/>
          <w:color w:val="000000"/>
          <w:highlight w:val="black"/>
        </w:rPr>
        <w:t>''''''''' ''''''' ''''''''''''''''' ''''' ''' '''''''''''''' '''' '''''''''''''''''''' ''''''''''' ''''''''''' ''''''' ''''' ''''''''''''''''''' '''''''''''''''''''' '''' ''''''''''''' ''''''''''''''''''' '''''''''''''''''' ''''''''''''''''''''''''''' ''''' '''''''''''''' ''' '''''''''' ''''' ''''''''''' '''''''''' '''''''''''''''' ''''''''''''''''''' ''''''''''''''''''''''''' '''' ''''''''''''''' '''''' ''''''''''''''''''''''''''' ''''''''''''''''''''' ''' ''''''''''' '''''''''''''' '''''''''' ''''''' ''''''''''''''''''''''</w:t>
      </w:r>
    </w:p>
    <w:p w:rsidR="001960CE" w:rsidRPr="00013D64" w:rsidRDefault="001960CE" w:rsidP="001960CE">
      <w:pPr>
        <w:pStyle w:val="ListParagraph"/>
        <w:widowControl w:val="0"/>
        <w:numPr>
          <w:ilvl w:val="0"/>
          <w:numId w:val="38"/>
        </w:numPr>
        <w:adjustRightInd w:val="0"/>
        <w:spacing w:after="120"/>
        <w:jc w:val="left"/>
        <w:textAlignment w:val="baseline"/>
        <w:rPr>
          <w:rFonts w:eastAsia="Calibri"/>
          <w:szCs w:val="24"/>
        </w:rPr>
      </w:pPr>
      <w:r w:rsidRPr="00013D64">
        <w:rPr>
          <w:rFonts w:eastAsia="Calibri"/>
          <w:szCs w:val="24"/>
        </w:rPr>
        <w:t>There was limited evidence available on the comparative safety of monotherapy with PAH medicines versus placebo for WHO FC l or ll.</w:t>
      </w:r>
    </w:p>
    <w:p w:rsidR="001960CE" w:rsidRPr="00CA69F2" w:rsidRDefault="001960CE" w:rsidP="001960CE">
      <w:pPr>
        <w:widowControl w:val="0"/>
        <w:numPr>
          <w:ilvl w:val="0"/>
          <w:numId w:val="54"/>
        </w:numPr>
        <w:adjustRightInd w:val="0"/>
        <w:ind w:left="426" w:hanging="426"/>
        <w:jc w:val="left"/>
        <w:textAlignment w:val="baseline"/>
      </w:pPr>
      <w:r w:rsidRPr="00CA69F2">
        <w:t>This option would increase the number of people eligible for PBS-listed PAH medicines, thereby impacting the cost-effectiveness that was originally assessed by the PBAC and the total cost to the PBS.</w:t>
      </w:r>
    </w:p>
    <w:p w:rsidR="001960CE" w:rsidRDefault="001960CE" w:rsidP="001960CE">
      <w:pPr>
        <w:widowControl w:val="0"/>
        <w:numPr>
          <w:ilvl w:val="0"/>
          <w:numId w:val="54"/>
        </w:numPr>
        <w:adjustRightInd w:val="0"/>
        <w:ind w:left="426" w:hanging="426"/>
        <w:jc w:val="left"/>
        <w:textAlignment w:val="baseline"/>
      </w:pPr>
      <w:r w:rsidRPr="005935A9">
        <w:t>To date, the PBAC has not had the opportunity to consider a submission from any industry sponsor to consider the effectiveness and cost-effectiveness of PAH targeted medicines in WHO FC II patients.</w:t>
      </w:r>
    </w:p>
    <w:p w:rsidR="001960CE" w:rsidRPr="005935A9" w:rsidRDefault="001960CE" w:rsidP="001960CE">
      <w:pPr>
        <w:widowControl w:val="0"/>
        <w:numPr>
          <w:ilvl w:val="0"/>
          <w:numId w:val="54"/>
        </w:numPr>
        <w:adjustRightInd w:val="0"/>
        <w:ind w:left="426" w:hanging="426"/>
        <w:jc w:val="left"/>
        <w:textAlignment w:val="baseline"/>
      </w:pPr>
      <w:r>
        <w:t>According to the registry data approximately 20% of patients were classified as having WHO FC II symptoms at time of diagnosis. The majority of patients presented in WHO FC III.</w:t>
      </w:r>
    </w:p>
    <w:p w:rsidR="001960CE" w:rsidRPr="005B6C8E" w:rsidRDefault="001960CE" w:rsidP="001960CE">
      <w:pPr>
        <w:spacing w:before="120"/>
        <w:ind w:left="360" w:hanging="360"/>
        <w:jc w:val="left"/>
        <w:rPr>
          <w:szCs w:val="24"/>
          <w:u w:val="single"/>
        </w:rPr>
      </w:pPr>
      <w:r w:rsidRPr="005B6C8E">
        <w:rPr>
          <w:szCs w:val="24"/>
          <w:u w:val="single"/>
        </w:rPr>
        <w:t>Stakeholder views</w:t>
      </w:r>
    </w:p>
    <w:p w:rsidR="001960CE" w:rsidRPr="005935A9" w:rsidRDefault="001960CE" w:rsidP="001960CE">
      <w:pPr>
        <w:widowControl w:val="0"/>
        <w:numPr>
          <w:ilvl w:val="0"/>
          <w:numId w:val="54"/>
        </w:numPr>
        <w:adjustRightInd w:val="0"/>
        <w:ind w:left="426" w:hanging="426"/>
        <w:jc w:val="left"/>
        <w:textAlignment w:val="baseline"/>
      </w:pPr>
      <w:r w:rsidRPr="005935A9">
        <w:t>Stakeholders understand currently PBS subsidised indications for PAH medicines do not allow treatment of FC II patients.</w:t>
      </w:r>
    </w:p>
    <w:p w:rsidR="001960CE" w:rsidRPr="005935A9" w:rsidRDefault="001960CE" w:rsidP="001960CE">
      <w:pPr>
        <w:widowControl w:val="0"/>
        <w:numPr>
          <w:ilvl w:val="0"/>
          <w:numId w:val="54"/>
        </w:numPr>
        <w:adjustRightInd w:val="0"/>
        <w:ind w:left="426" w:hanging="426"/>
        <w:jc w:val="left"/>
        <w:textAlignment w:val="baseline"/>
      </w:pPr>
      <w:r w:rsidRPr="005935A9">
        <w:t>Some consumers reported that they were not able to be prescribed medicines once they improved from FC III or IV to FC II, noting that this is not the intention of the PBS restriction.</w:t>
      </w:r>
    </w:p>
    <w:p w:rsidR="001960CE" w:rsidRDefault="001960CE" w:rsidP="001960CE">
      <w:pPr>
        <w:widowControl w:val="0"/>
        <w:numPr>
          <w:ilvl w:val="0"/>
          <w:numId w:val="54"/>
        </w:numPr>
        <w:adjustRightInd w:val="0"/>
        <w:ind w:left="426" w:hanging="426"/>
        <w:jc w:val="left"/>
        <w:textAlignment w:val="baseline"/>
      </w:pPr>
      <w:r w:rsidRPr="005935A9">
        <w:lastRenderedPageBreak/>
        <w:t>There is a demand from patients and prescribers for access to PBS subsidised PAH medicines to treat WHO FC II PAH.</w:t>
      </w:r>
    </w:p>
    <w:p w:rsidR="001960CE" w:rsidRPr="005B6C8E" w:rsidRDefault="001960CE" w:rsidP="001960CE">
      <w:pPr>
        <w:pStyle w:val="Heading4"/>
      </w:pPr>
      <w:r w:rsidRPr="005B6C8E">
        <w:t xml:space="preserve">Option 2 – Extend PBS </w:t>
      </w:r>
      <w:r>
        <w:t>restrictions for specific combinations of ERA’s, PDE-5 inhibitors, sGC stimulators</w:t>
      </w:r>
      <w:r w:rsidRPr="005B6C8E">
        <w:t xml:space="preserve"> </w:t>
      </w:r>
      <w:r>
        <w:t xml:space="preserve">and prostanoids </w:t>
      </w:r>
      <w:r w:rsidRPr="005B6C8E">
        <w:t xml:space="preserve">to </w:t>
      </w:r>
      <w:r>
        <w:t xml:space="preserve">include dual combination therapy </w:t>
      </w:r>
      <w:r w:rsidRPr="005B6C8E">
        <w:t>for</w:t>
      </w:r>
      <w:r>
        <w:t xml:space="preserve"> patients presenting with</w:t>
      </w:r>
      <w:r w:rsidRPr="005B6C8E">
        <w:t xml:space="preserve"> WHO Functional Class II </w:t>
      </w:r>
      <w:r>
        <w:t>symptoms.</w:t>
      </w:r>
    </w:p>
    <w:p w:rsidR="001960CE" w:rsidRPr="005B6C8E" w:rsidRDefault="001960CE" w:rsidP="001960CE">
      <w:pPr>
        <w:spacing w:before="120"/>
        <w:ind w:left="360" w:hanging="360"/>
        <w:jc w:val="left"/>
        <w:rPr>
          <w:szCs w:val="24"/>
          <w:u w:val="single"/>
        </w:rPr>
      </w:pPr>
      <w:r w:rsidRPr="005B6C8E">
        <w:rPr>
          <w:szCs w:val="24"/>
          <w:u w:val="single"/>
        </w:rPr>
        <w:t>Current TGA</w:t>
      </w:r>
      <w:r>
        <w:rPr>
          <w:szCs w:val="24"/>
          <w:u w:val="single"/>
        </w:rPr>
        <w:t xml:space="preserve"> registration</w:t>
      </w:r>
      <w:r w:rsidRPr="005B6C8E">
        <w:rPr>
          <w:szCs w:val="24"/>
          <w:u w:val="single"/>
        </w:rPr>
        <w:t xml:space="preserve">/PBS restrictions for PAH medicines </w:t>
      </w:r>
      <w:r>
        <w:rPr>
          <w:szCs w:val="24"/>
          <w:u w:val="single"/>
        </w:rPr>
        <w:t xml:space="preserve">in combination </w:t>
      </w:r>
      <w:r w:rsidRPr="005B6C8E">
        <w:rPr>
          <w:szCs w:val="24"/>
          <w:u w:val="single"/>
        </w:rPr>
        <w:t xml:space="preserve">in WHO FC </w:t>
      </w:r>
      <w:r>
        <w:rPr>
          <w:szCs w:val="24"/>
          <w:u w:val="single"/>
        </w:rPr>
        <w:t>II</w:t>
      </w:r>
      <w:r w:rsidRPr="005B6C8E">
        <w:rPr>
          <w:szCs w:val="24"/>
          <w:u w:val="single"/>
        </w:rPr>
        <w:t xml:space="preserve"> </w:t>
      </w:r>
    </w:p>
    <w:p w:rsidR="001960CE" w:rsidRPr="005935A9" w:rsidRDefault="001960CE" w:rsidP="001960CE">
      <w:pPr>
        <w:widowControl w:val="0"/>
        <w:numPr>
          <w:ilvl w:val="0"/>
          <w:numId w:val="54"/>
        </w:numPr>
        <w:adjustRightInd w:val="0"/>
        <w:ind w:left="426" w:hanging="426"/>
        <w:jc w:val="left"/>
        <w:textAlignment w:val="baseline"/>
      </w:pPr>
      <w:r w:rsidRPr="005935A9">
        <w:t>The following targeted PAH medicines are TGA approved for add-on or combination therapy:</w:t>
      </w:r>
    </w:p>
    <w:p w:rsidR="001960CE" w:rsidRPr="005B6C8E" w:rsidRDefault="001960CE" w:rsidP="001960CE">
      <w:pPr>
        <w:pStyle w:val="ListParagraph"/>
        <w:widowControl w:val="0"/>
        <w:numPr>
          <w:ilvl w:val="0"/>
          <w:numId w:val="50"/>
        </w:numPr>
        <w:adjustRightInd w:val="0"/>
        <w:spacing w:after="120"/>
        <w:jc w:val="left"/>
        <w:textAlignment w:val="baseline"/>
        <w:rPr>
          <w:szCs w:val="24"/>
        </w:rPr>
      </w:pPr>
      <w:r>
        <w:rPr>
          <w:szCs w:val="24"/>
        </w:rPr>
        <w:t>a</w:t>
      </w:r>
      <w:r w:rsidRPr="005B6C8E">
        <w:rPr>
          <w:szCs w:val="24"/>
        </w:rPr>
        <w:t>mbrisentan plus tadalafil</w:t>
      </w:r>
    </w:p>
    <w:p w:rsidR="001960CE" w:rsidRPr="005B6C8E" w:rsidRDefault="001960CE" w:rsidP="001960CE">
      <w:pPr>
        <w:pStyle w:val="ListParagraph"/>
        <w:widowControl w:val="0"/>
        <w:numPr>
          <w:ilvl w:val="0"/>
          <w:numId w:val="50"/>
        </w:numPr>
        <w:adjustRightInd w:val="0"/>
        <w:spacing w:after="120"/>
        <w:jc w:val="left"/>
        <w:textAlignment w:val="baseline"/>
        <w:rPr>
          <w:szCs w:val="24"/>
        </w:rPr>
      </w:pPr>
      <w:r>
        <w:rPr>
          <w:szCs w:val="24"/>
        </w:rPr>
        <w:t>m</w:t>
      </w:r>
      <w:r w:rsidRPr="005B6C8E">
        <w:rPr>
          <w:szCs w:val="24"/>
        </w:rPr>
        <w:t>acitentan plus PDE-5 or iloprost</w:t>
      </w:r>
    </w:p>
    <w:p w:rsidR="001960CE" w:rsidRPr="005B6C8E" w:rsidRDefault="001960CE" w:rsidP="001960CE">
      <w:pPr>
        <w:pStyle w:val="ListParagraph"/>
        <w:widowControl w:val="0"/>
        <w:numPr>
          <w:ilvl w:val="0"/>
          <w:numId w:val="50"/>
        </w:numPr>
        <w:adjustRightInd w:val="0"/>
        <w:spacing w:after="120"/>
        <w:jc w:val="left"/>
        <w:textAlignment w:val="baseline"/>
        <w:rPr>
          <w:szCs w:val="24"/>
        </w:rPr>
      </w:pPr>
      <w:r>
        <w:rPr>
          <w:szCs w:val="24"/>
        </w:rPr>
        <w:t>r</w:t>
      </w:r>
      <w:r w:rsidRPr="005B6C8E">
        <w:rPr>
          <w:szCs w:val="24"/>
        </w:rPr>
        <w:t>iociguat plus ERA or iloprost</w:t>
      </w:r>
    </w:p>
    <w:p w:rsidR="001960CE" w:rsidRPr="005935A9" w:rsidRDefault="001960CE" w:rsidP="001960CE">
      <w:pPr>
        <w:widowControl w:val="0"/>
        <w:numPr>
          <w:ilvl w:val="0"/>
          <w:numId w:val="54"/>
        </w:numPr>
        <w:adjustRightInd w:val="0"/>
        <w:ind w:left="426" w:hanging="426"/>
        <w:jc w:val="left"/>
        <w:textAlignment w:val="baseline"/>
      </w:pPr>
      <w:r w:rsidRPr="005935A9">
        <w:t>The current PBS restrictions do not allow for subsidised use of any targeted PAH medicines in WHO FC II PAH.</w:t>
      </w:r>
    </w:p>
    <w:p w:rsidR="001960CE" w:rsidRPr="005B6C8E" w:rsidRDefault="001960CE" w:rsidP="001960CE">
      <w:pPr>
        <w:spacing w:before="120"/>
        <w:ind w:left="360" w:hanging="360"/>
        <w:jc w:val="left"/>
        <w:rPr>
          <w:szCs w:val="24"/>
          <w:u w:val="single"/>
        </w:rPr>
      </w:pPr>
      <w:r w:rsidRPr="005B6C8E">
        <w:rPr>
          <w:szCs w:val="24"/>
          <w:u w:val="single"/>
        </w:rPr>
        <w:t>Issues for Consideration</w:t>
      </w:r>
    </w:p>
    <w:p w:rsidR="001960CE" w:rsidRPr="005935A9" w:rsidRDefault="001960CE" w:rsidP="001960CE">
      <w:pPr>
        <w:widowControl w:val="0"/>
        <w:numPr>
          <w:ilvl w:val="0"/>
          <w:numId w:val="54"/>
        </w:numPr>
        <w:adjustRightInd w:val="0"/>
        <w:ind w:left="426" w:hanging="426"/>
        <w:jc w:val="left"/>
        <w:textAlignment w:val="baseline"/>
      </w:pPr>
      <w:r w:rsidRPr="005935A9">
        <w:t>The 2015 ERS/ESC guidelines and the CHEST guideline both recommend sequential combination therapy for patients in WHO FC II with oral medicines (PDE-5 inhibitors, ERAs and sGC stimulators) as standard of care for patients with inadequate response, up to a maximum of three medicines.</w:t>
      </w:r>
    </w:p>
    <w:p w:rsidR="001960CE" w:rsidRPr="005935A9" w:rsidRDefault="001960CE" w:rsidP="001960CE">
      <w:pPr>
        <w:widowControl w:val="0"/>
        <w:numPr>
          <w:ilvl w:val="0"/>
          <w:numId w:val="54"/>
        </w:numPr>
        <w:adjustRightInd w:val="0"/>
        <w:ind w:left="426" w:hanging="426"/>
        <w:jc w:val="left"/>
        <w:textAlignment w:val="baseline"/>
      </w:pPr>
      <w:r w:rsidRPr="005935A9">
        <w:t>The 2015 ERS/ESC guidelines also recommend initial combination therapy in patients assessed as WHO FC II-III and intermediate risk with an oral PDE-5 inhibitor and ERA (Based on evidence from AMBITION trial). The CHEST guideline instead suggests reserving initial combination treatment for those pati</w:t>
      </w:r>
      <w:r>
        <w:t>ents with higher risk features.</w:t>
      </w:r>
    </w:p>
    <w:p w:rsidR="001960CE" w:rsidRPr="005935A9" w:rsidRDefault="001960CE" w:rsidP="001960CE">
      <w:pPr>
        <w:widowControl w:val="0"/>
        <w:numPr>
          <w:ilvl w:val="0"/>
          <w:numId w:val="54"/>
        </w:numPr>
        <w:adjustRightInd w:val="0"/>
        <w:ind w:left="426" w:hanging="426"/>
        <w:jc w:val="left"/>
        <w:textAlignment w:val="baseline"/>
      </w:pPr>
      <w:r w:rsidRPr="005935A9">
        <w:t>The 2015 ERS/ESC guidelines and the CHEST guidelines suggest the overall treatment goal is to achieve a low risk status which is usually associated with good exercise capacity, good quality of life, good RV function and a low mortality risk (WHO FC II). Patients who are stabilised on one PAH medicine or those who improve slightly, can receive additional PAH medicines if treatment goals are not met.</w:t>
      </w:r>
    </w:p>
    <w:p w:rsidR="001960CE" w:rsidRPr="005935A9" w:rsidRDefault="001960CE" w:rsidP="001960CE">
      <w:pPr>
        <w:widowControl w:val="0"/>
        <w:numPr>
          <w:ilvl w:val="0"/>
          <w:numId w:val="54"/>
        </w:numPr>
        <w:adjustRightInd w:val="0"/>
        <w:ind w:left="426" w:hanging="426"/>
        <w:jc w:val="left"/>
        <w:textAlignment w:val="baseline"/>
      </w:pPr>
      <w:r w:rsidRPr="005935A9">
        <w:t xml:space="preserve">According to the literature review in TOR 4, the majority of the available clinical trial evidence to support initial combination therapy and sequential combination therapy with PAH medicines is in the whole PAH population and not presented according to WHO FC </w:t>
      </w:r>
      <w:r>
        <w:t>II</w:t>
      </w:r>
      <w:r w:rsidRPr="005935A9">
        <w:t>.</w:t>
      </w:r>
    </w:p>
    <w:p w:rsidR="001960CE" w:rsidRPr="00664FCB" w:rsidRDefault="001960CE" w:rsidP="001960CE">
      <w:pPr>
        <w:widowControl w:val="0"/>
        <w:numPr>
          <w:ilvl w:val="0"/>
          <w:numId w:val="54"/>
        </w:numPr>
        <w:adjustRightInd w:val="0"/>
        <w:ind w:left="426" w:hanging="426"/>
        <w:jc w:val="left"/>
        <w:textAlignment w:val="baseline"/>
        <w:rPr>
          <w:szCs w:val="24"/>
        </w:rPr>
      </w:pPr>
      <w:r w:rsidRPr="005935A9">
        <w:t>In most dual combination PAH therapy trials there was some evidence to suggest benefit from adding a second PAH medicines compared to being treated with</w:t>
      </w:r>
      <w:r w:rsidRPr="00664FCB">
        <w:rPr>
          <w:szCs w:val="24"/>
        </w:rPr>
        <w:t xml:space="preserve"> monotherapy, noting this evidenc</w:t>
      </w:r>
      <w:r>
        <w:rPr>
          <w:szCs w:val="24"/>
        </w:rPr>
        <w:t>e was for all PAH participants.</w:t>
      </w:r>
    </w:p>
    <w:p w:rsidR="001960CE" w:rsidRPr="00664FCB" w:rsidRDefault="001960CE" w:rsidP="001960CE">
      <w:pPr>
        <w:pStyle w:val="ListParagraph"/>
        <w:widowControl w:val="0"/>
        <w:numPr>
          <w:ilvl w:val="0"/>
          <w:numId w:val="38"/>
        </w:numPr>
        <w:adjustRightInd w:val="0"/>
        <w:spacing w:after="120"/>
        <w:jc w:val="left"/>
        <w:textAlignment w:val="baseline"/>
        <w:rPr>
          <w:szCs w:val="24"/>
        </w:rPr>
      </w:pPr>
      <w:r w:rsidRPr="00664FCB">
        <w:rPr>
          <w:szCs w:val="24"/>
        </w:rPr>
        <w:lastRenderedPageBreak/>
        <w:t>AMBITION was the only trial reporting on the effectiveness of PDE-5 and ERA in initial combination therapy</w:t>
      </w:r>
      <w:r>
        <w:rPr>
          <w:szCs w:val="24"/>
        </w:rPr>
        <w:t>. Outcomes of a sub-group analysis by WHO FC II support combination therapy over monotherapy in regard to clinical failure.</w:t>
      </w:r>
    </w:p>
    <w:p w:rsidR="001960CE" w:rsidRPr="00E5630F" w:rsidRDefault="001960CE" w:rsidP="001960CE">
      <w:pPr>
        <w:pStyle w:val="ListParagraph"/>
        <w:widowControl w:val="0"/>
        <w:numPr>
          <w:ilvl w:val="0"/>
          <w:numId w:val="38"/>
        </w:numPr>
        <w:adjustRightInd w:val="0"/>
        <w:spacing w:after="120"/>
        <w:jc w:val="left"/>
        <w:textAlignment w:val="baseline"/>
      </w:pPr>
      <w:r w:rsidRPr="00E5630F">
        <w:rPr>
          <w:szCs w:val="24"/>
        </w:rPr>
        <w:t>There were no statistically significant differences in the effectiveness of treatment for patients receiving initial combination therapy versus monotherapy and patients receiving sequential combination therapy versus monotherapy.</w:t>
      </w:r>
    </w:p>
    <w:p w:rsidR="001960CE" w:rsidRPr="00785A87" w:rsidRDefault="001960CE" w:rsidP="001960CE">
      <w:pPr>
        <w:pStyle w:val="ListParagraph"/>
        <w:widowControl w:val="0"/>
        <w:numPr>
          <w:ilvl w:val="0"/>
          <w:numId w:val="38"/>
        </w:numPr>
        <w:adjustRightInd w:val="0"/>
        <w:spacing w:after="120"/>
        <w:jc w:val="left"/>
        <w:textAlignment w:val="baseline"/>
        <w:rPr>
          <w:szCs w:val="24"/>
        </w:rPr>
      </w:pPr>
      <w:r w:rsidRPr="00785A87">
        <w:rPr>
          <w:szCs w:val="24"/>
        </w:rPr>
        <w:t>Use of initial combination therapies in general may be contrary to Quality use of Medicine principles, whereby response to a single medicine should be confirmed prior to initiating a second medicine. According to current PBS restrictions if there is no response (i.e. stability or improvement of disease) to the first PAH therapy, the medicine should be ceased.</w:t>
      </w:r>
    </w:p>
    <w:p w:rsidR="001960CE" w:rsidRPr="005B6C8E" w:rsidRDefault="001960CE" w:rsidP="001960CE">
      <w:pPr>
        <w:pStyle w:val="ListParagraph"/>
        <w:widowControl w:val="0"/>
        <w:numPr>
          <w:ilvl w:val="0"/>
          <w:numId w:val="38"/>
        </w:numPr>
        <w:adjustRightInd w:val="0"/>
        <w:spacing w:after="120"/>
        <w:jc w:val="left"/>
        <w:textAlignment w:val="baseline"/>
        <w:rPr>
          <w:szCs w:val="24"/>
        </w:rPr>
      </w:pPr>
      <w:r w:rsidRPr="005B6C8E">
        <w:rPr>
          <w:szCs w:val="24"/>
        </w:rPr>
        <w:t>To date, the PBAC has not had the opportunity to consider an application from any industry sponsor to assess the cost-effectiveness of the treatment of patients with PAH presenting in WHO FC II with two targeted PAH medicines in either initial or sequential combinations</w:t>
      </w:r>
      <w:r>
        <w:rPr>
          <w:szCs w:val="24"/>
        </w:rPr>
        <w:t>.</w:t>
      </w:r>
    </w:p>
    <w:p w:rsidR="001960CE" w:rsidRPr="005B6C8E" w:rsidRDefault="001960CE" w:rsidP="001960CE">
      <w:pPr>
        <w:spacing w:before="120"/>
        <w:ind w:left="360" w:hanging="360"/>
        <w:jc w:val="left"/>
        <w:rPr>
          <w:szCs w:val="24"/>
          <w:u w:val="single"/>
        </w:rPr>
      </w:pPr>
      <w:r w:rsidRPr="005B6C8E">
        <w:rPr>
          <w:szCs w:val="24"/>
          <w:u w:val="single"/>
        </w:rPr>
        <w:t>Stakeholder views</w:t>
      </w:r>
    </w:p>
    <w:p w:rsidR="001960CE" w:rsidRPr="005B6C8E" w:rsidRDefault="001960CE" w:rsidP="001960CE">
      <w:pPr>
        <w:pStyle w:val="ListParagraph"/>
        <w:widowControl w:val="0"/>
        <w:numPr>
          <w:ilvl w:val="0"/>
          <w:numId w:val="38"/>
        </w:numPr>
        <w:adjustRightInd w:val="0"/>
        <w:spacing w:after="120"/>
        <w:jc w:val="left"/>
        <w:textAlignment w:val="baseline"/>
        <w:rPr>
          <w:szCs w:val="24"/>
        </w:rPr>
      </w:pPr>
      <w:r w:rsidRPr="005B6C8E">
        <w:rPr>
          <w:szCs w:val="24"/>
        </w:rPr>
        <w:t>One prescriber supported sequential combination treatment based on patients not achieving an adequate improvement in symptoms</w:t>
      </w:r>
    </w:p>
    <w:p w:rsidR="001960CE" w:rsidRPr="005B6C8E" w:rsidRDefault="001960CE" w:rsidP="001960CE">
      <w:pPr>
        <w:pStyle w:val="ListParagraph"/>
        <w:widowControl w:val="0"/>
        <w:numPr>
          <w:ilvl w:val="0"/>
          <w:numId w:val="38"/>
        </w:numPr>
        <w:adjustRightInd w:val="0"/>
        <w:spacing w:after="120"/>
        <w:jc w:val="left"/>
        <w:textAlignment w:val="baseline"/>
        <w:rPr>
          <w:szCs w:val="24"/>
        </w:rPr>
      </w:pPr>
      <w:r w:rsidRPr="005B6C8E">
        <w:rPr>
          <w:szCs w:val="24"/>
        </w:rPr>
        <w:t xml:space="preserve">Consumers suggested that earlier treatment and combination therapy led to better health outcomes and questioned why treatment is not available for FC II patients whose health is only going to deteriorate. They also suggested that earlier treatment could be more cost-effective. </w:t>
      </w:r>
    </w:p>
    <w:p w:rsidR="001960CE" w:rsidRDefault="001960CE" w:rsidP="001960CE">
      <w:pPr>
        <w:pStyle w:val="ListParagraph"/>
        <w:widowControl w:val="0"/>
        <w:numPr>
          <w:ilvl w:val="0"/>
          <w:numId w:val="38"/>
        </w:numPr>
        <w:adjustRightInd w:val="0"/>
        <w:spacing w:after="120"/>
        <w:jc w:val="left"/>
        <w:textAlignment w:val="baseline"/>
        <w:rPr>
          <w:szCs w:val="24"/>
        </w:rPr>
      </w:pPr>
      <w:r w:rsidRPr="005B6C8E">
        <w:rPr>
          <w:szCs w:val="24"/>
        </w:rPr>
        <w:t>One sponsor stakeholder stated there were few RCTs assessing the comparative efficacy and safety of PAH medicines, but provides available evidence for a</w:t>
      </w:r>
      <w:r>
        <w:rPr>
          <w:szCs w:val="24"/>
        </w:rPr>
        <w:t>m</w:t>
      </w:r>
      <w:r w:rsidRPr="005B6C8E">
        <w:rPr>
          <w:szCs w:val="24"/>
        </w:rPr>
        <w:t xml:space="preserve">brisentan and </w:t>
      </w:r>
      <w:r>
        <w:rPr>
          <w:szCs w:val="24"/>
        </w:rPr>
        <w:t>tadalafil</w:t>
      </w:r>
      <w:r w:rsidRPr="005B6C8E">
        <w:rPr>
          <w:szCs w:val="24"/>
        </w:rPr>
        <w:t xml:space="preserve"> that is yet to be considered by PBAC, with inclusion of studies pertaining to combination use in the FC </w:t>
      </w:r>
      <w:r>
        <w:rPr>
          <w:szCs w:val="24"/>
        </w:rPr>
        <w:t>II</w:t>
      </w:r>
      <w:r w:rsidRPr="005B6C8E">
        <w:rPr>
          <w:szCs w:val="24"/>
        </w:rPr>
        <w:t xml:space="preserve"> patient population</w:t>
      </w:r>
      <w:r>
        <w:rPr>
          <w:szCs w:val="24"/>
        </w:rPr>
        <w:t>.</w:t>
      </w:r>
    </w:p>
    <w:p w:rsidR="001960CE" w:rsidRPr="005B6C8E" w:rsidRDefault="001960CE" w:rsidP="001960CE">
      <w:pPr>
        <w:pStyle w:val="ListParagraph"/>
        <w:spacing w:after="120"/>
        <w:ind w:left="360"/>
        <w:jc w:val="left"/>
        <w:rPr>
          <w:szCs w:val="24"/>
        </w:rPr>
      </w:pPr>
    </w:p>
    <w:p w:rsidR="001960CE" w:rsidRPr="005B6C8E" w:rsidRDefault="001960CE" w:rsidP="001960CE">
      <w:pPr>
        <w:jc w:val="left"/>
        <w:rPr>
          <w:b/>
          <w:i/>
          <w:szCs w:val="24"/>
        </w:rPr>
      </w:pPr>
      <w:r>
        <w:rPr>
          <w:b/>
          <w:i/>
          <w:szCs w:val="24"/>
        </w:rPr>
        <w:br w:type="page"/>
      </w:r>
      <w:r w:rsidRPr="005B6C8E">
        <w:rPr>
          <w:b/>
          <w:i/>
          <w:szCs w:val="24"/>
        </w:rPr>
        <w:lastRenderedPageBreak/>
        <w:t xml:space="preserve">Option 3: Extend PBS subsidised access to combination (initial combination and/or sequential combination) therapy with </w:t>
      </w:r>
      <w:r>
        <w:rPr>
          <w:b/>
          <w:i/>
          <w:szCs w:val="24"/>
        </w:rPr>
        <w:t>various combinations of ERAs and PDE-5 inhibitors, sGC stimulators and prostanoids</w:t>
      </w:r>
      <w:r w:rsidRPr="005B6C8E">
        <w:rPr>
          <w:b/>
          <w:i/>
          <w:szCs w:val="24"/>
        </w:rPr>
        <w:t xml:space="preserve"> for patient</w:t>
      </w:r>
      <w:r w:rsidR="00E61B59">
        <w:rPr>
          <w:b/>
          <w:i/>
          <w:szCs w:val="24"/>
        </w:rPr>
        <w:t>s</w:t>
      </w:r>
      <w:r w:rsidRPr="005B6C8E">
        <w:rPr>
          <w:b/>
          <w:i/>
          <w:szCs w:val="24"/>
        </w:rPr>
        <w:t xml:space="preserve"> with PAH in WHO FC III-IV.</w:t>
      </w:r>
    </w:p>
    <w:p w:rsidR="001960CE" w:rsidRPr="005B6C8E" w:rsidRDefault="001960CE" w:rsidP="001960CE">
      <w:pPr>
        <w:pStyle w:val="ListParagraph"/>
        <w:ind w:left="0"/>
        <w:jc w:val="left"/>
        <w:rPr>
          <w:szCs w:val="24"/>
        </w:rPr>
      </w:pPr>
      <w:r w:rsidRPr="005B6C8E">
        <w:rPr>
          <w:szCs w:val="24"/>
        </w:rPr>
        <w:t xml:space="preserve">Specific treatment options </w:t>
      </w:r>
      <w:r>
        <w:rPr>
          <w:szCs w:val="24"/>
        </w:rPr>
        <w:t xml:space="preserve">could </w:t>
      </w:r>
      <w:r w:rsidRPr="005B6C8E">
        <w:rPr>
          <w:szCs w:val="24"/>
        </w:rPr>
        <w:t>include any or all of the following:</w:t>
      </w:r>
    </w:p>
    <w:p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d</w:t>
      </w:r>
      <w:r w:rsidRPr="005B6C8E">
        <w:rPr>
          <w:szCs w:val="24"/>
        </w:rPr>
        <w:t>ual combination therapy for patients in FC III-IV (initial and/or sequential)</w:t>
      </w:r>
    </w:p>
    <w:p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d</w:t>
      </w:r>
      <w:r w:rsidRPr="005B6C8E">
        <w:rPr>
          <w:szCs w:val="24"/>
        </w:rPr>
        <w:t>ual combination therapy for patients in FC IV (initial and/or sequential)</w:t>
      </w:r>
    </w:p>
    <w:p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t</w:t>
      </w:r>
      <w:r w:rsidRPr="005B6C8E">
        <w:rPr>
          <w:szCs w:val="24"/>
        </w:rPr>
        <w:t>riple combination therapy for patient in FC III- IV (initial and/or sequential)</w:t>
      </w:r>
    </w:p>
    <w:p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proofErr w:type="gramStart"/>
      <w:r>
        <w:rPr>
          <w:szCs w:val="24"/>
        </w:rPr>
        <w:t>t</w:t>
      </w:r>
      <w:r w:rsidRPr="005B6C8E">
        <w:rPr>
          <w:szCs w:val="24"/>
        </w:rPr>
        <w:t>riple</w:t>
      </w:r>
      <w:proofErr w:type="gramEnd"/>
      <w:r w:rsidRPr="005B6C8E">
        <w:rPr>
          <w:szCs w:val="24"/>
        </w:rPr>
        <w:t xml:space="preserve"> combination therapy for patient in FC IV </w:t>
      </w:r>
      <w:r>
        <w:rPr>
          <w:szCs w:val="24"/>
        </w:rPr>
        <w:t xml:space="preserve">alone </w:t>
      </w:r>
      <w:r w:rsidRPr="005B6C8E">
        <w:rPr>
          <w:szCs w:val="24"/>
        </w:rPr>
        <w:t>(initial and/or sequential)</w:t>
      </w:r>
      <w:r>
        <w:rPr>
          <w:szCs w:val="24"/>
        </w:rPr>
        <w:t>.</w:t>
      </w:r>
    </w:p>
    <w:p w:rsidR="001960CE" w:rsidRPr="005B6C8E" w:rsidRDefault="001960CE" w:rsidP="001960CE">
      <w:pPr>
        <w:spacing w:before="120"/>
        <w:jc w:val="left"/>
        <w:rPr>
          <w:szCs w:val="24"/>
          <w:u w:val="single"/>
        </w:rPr>
      </w:pPr>
      <w:r w:rsidRPr="005B6C8E">
        <w:rPr>
          <w:szCs w:val="24"/>
          <w:u w:val="single"/>
        </w:rPr>
        <w:t>Current TGA</w:t>
      </w:r>
      <w:r>
        <w:rPr>
          <w:szCs w:val="24"/>
          <w:u w:val="single"/>
        </w:rPr>
        <w:t xml:space="preserve"> registration</w:t>
      </w:r>
      <w:r w:rsidRPr="005B6C8E">
        <w:rPr>
          <w:szCs w:val="24"/>
          <w:u w:val="single"/>
        </w:rPr>
        <w:t xml:space="preserve">/PBS restrictions for PAH medicines in </w:t>
      </w:r>
      <w:r>
        <w:rPr>
          <w:szCs w:val="24"/>
          <w:u w:val="single"/>
        </w:rPr>
        <w:t xml:space="preserve">combination in </w:t>
      </w:r>
      <w:r w:rsidRPr="005B6C8E">
        <w:rPr>
          <w:szCs w:val="24"/>
          <w:u w:val="single"/>
        </w:rPr>
        <w:t xml:space="preserve">WHO FC </w:t>
      </w:r>
      <w:r>
        <w:rPr>
          <w:szCs w:val="24"/>
          <w:u w:val="single"/>
        </w:rPr>
        <w:t>III</w:t>
      </w:r>
      <w:r w:rsidRPr="005B6C8E">
        <w:rPr>
          <w:szCs w:val="24"/>
          <w:u w:val="single"/>
        </w:rPr>
        <w:t xml:space="preserve"> and </w:t>
      </w:r>
      <w:r>
        <w:rPr>
          <w:szCs w:val="24"/>
          <w:u w:val="single"/>
        </w:rPr>
        <w:t>IV</w:t>
      </w:r>
      <w:r w:rsidRPr="005B6C8E">
        <w:rPr>
          <w:szCs w:val="24"/>
          <w:u w:val="single"/>
        </w:rPr>
        <w:t xml:space="preserve"> </w:t>
      </w:r>
    </w:p>
    <w:p w:rsidR="001960CE" w:rsidRPr="00664FCB" w:rsidRDefault="001960CE" w:rsidP="001960CE">
      <w:pPr>
        <w:spacing w:before="120"/>
        <w:jc w:val="left"/>
        <w:rPr>
          <w:szCs w:val="24"/>
        </w:rPr>
      </w:pPr>
      <w:r w:rsidRPr="00664FCB">
        <w:rPr>
          <w:szCs w:val="24"/>
        </w:rPr>
        <w:t xml:space="preserve">The following medicines are TGA registered for use in dual therapy in WHO FC </w:t>
      </w:r>
      <w:r>
        <w:rPr>
          <w:szCs w:val="24"/>
        </w:rPr>
        <w:t>III</w:t>
      </w:r>
      <w:r w:rsidRPr="00664FCB">
        <w:rPr>
          <w:szCs w:val="24"/>
        </w:rPr>
        <w:t xml:space="preserve"> and </w:t>
      </w:r>
      <w:r>
        <w:rPr>
          <w:szCs w:val="24"/>
        </w:rPr>
        <w:t>IV</w:t>
      </w:r>
      <w:r w:rsidRPr="00664FCB">
        <w:rPr>
          <w:szCs w:val="24"/>
        </w:rPr>
        <w:t>:</w:t>
      </w:r>
    </w:p>
    <w:p w:rsidR="001960CE" w:rsidRPr="00EA4A2A" w:rsidRDefault="001960CE" w:rsidP="001960CE">
      <w:pPr>
        <w:pStyle w:val="ListParagraph"/>
        <w:widowControl w:val="0"/>
        <w:numPr>
          <w:ilvl w:val="0"/>
          <w:numId w:val="45"/>
        </w:numPr>
        <w:adjustRightInd w:val="0"/>
        <w:spacing w:after="120"/>
        <w:ind w:left="720"/>
        <w:contextualSpacing w:val="0"/>
        <w:jc w:val="left"/>
        <w:textAlignment w:val="baseline"/>
        <w:rPr>
          <w:szCs w:val="24"/>
        </w:rPr>
      </w:pPr>
      <w:r w:rsidRPr="00EA4A2A">
        <w:rPr>
          <w:szCs w:val="24"/>
        </w:rPr>
        <w:t xml:space="preserve">ambrisentan in combination with tadalafil </w:t>
      </w:r>
    </w:p>
    <w:p w:rsidR="001960CE" w:rsidRPr="00EA4A2A" w:rsidRDefault="001960CE" w:rsidP="001960CE">
      <w:pPr>
        <w:pStyle w:val="ListParagraph"/>
        <w:widowControl w:val="0"/>
        <w:numPr>
          <w:ilvl w:val="0"/>
          <w:numId w:val="46"/>
        </w:numPr>
        <w:adjustRightInd w:val="0"/>
        <w:spacing w:after="120"/>
        <w:ind w:left="720"/>
        <w:contextualSpacing w:val="0"/>
        <w:jc w:val="left"/>
        <w:textAlignment w:val="baseline"/>
        <w:rPr>
          <w:szCs w:val="24"/>
        </w:rPr>
      </w:pPr>
      <w:r w:rsidRPr="00EA4A2A">
        <w:rPr>
          <w:szCs w:val="24"/>
        </w:rPr>
        <w:t xml:space="preserve">macitentan in combination with </w:t>
      </w:r>
      <w:r>
        <w:rPr>
          <w:szCs w:val="24"/>
        </w:rPr>
        <w:t>a PDE-5 inhibitor</w:t>
      </w:r>
      <w:r w:rsidRPr="00EA4A2A">
        <w:rPr>
          <w:szCs w:val="24"/>
        </w:rPr>
        <w:t xml:space="preserve"> or inhaled prostanoids </w:t>
      </w:r>
    </w:p>
    <w:p w:rsidR="001960CE" w:rsidRPr="00EA4A2A" w:rsidRDefault="001960CE" w:rsidP="001960CE">
      <w:pPr>
        <w:pStyle w:val="ListParagraph"/>
        <w:widowControl w:val="0"/>
        <w:numPr>
          <w:ilvl w:val="0"/>
          <w:numId w:val="47"/>
        </w:numPr>
        <w:adjustRightInd w:val="0"/>
        <w:spacing w:after="120"/>
        <w:ind w:left="720"/>
        <w:contextualSpacing w:val="0"/>
        <w:jc w:val="left"/>
        <w:textAlignment w:val="baseline"/>
        <w:rPr>
          <w:szCs w:val="24"/>
        </w:rPr>
      </w:pPr>
      <w:r w:rsidRPr="00EA4A2A">
        <w:rPr>
          <w:szCs w:val="24"/>
        </w:rPr>
        <w:t xml:space="preserve">riociguat in combination with </w:t>
      </w:r>
      <w:r>
        <w:rPr>
          <w:szCs w:val="24"/>
        </w:rPr>
        <w:t xml:space="preserve">ERAs </w:t>
      </w:r>
      <w:r w:rsidRPr="00EA4A2A">
        <w:rPr>
          <w:szCs w:val="24"/>
        </w:rPr>
        <w:t>or inhaled or subcutaneous prostanoids</w:t>
      </w:r>
    </w:p>
    <w:p w:rsidR="001960CE" w:rsidRPr="00EA4A2A" w:rsidRDefault="001960CE" w:rsidP="001960CE">
      <w:pPr>
        <w:pStyle w:val="ListParagraph"/>
        <w:widowControl w:val="0"/>
        <w:numPr>
          <w:ilvl w:val="0"/>
          <w:numId w:val="48"/>
        </w:numPr>
        <w:adjustRightInd w:val="0"/>
        <w:spacing w:after="120"/>
        <w:ind w:left="720"/>
        <w:contextualSpacing w:val="0"/>
        <w:jc w:val="left"/>
        <w:textAlignment w:val="baseline"/>
        <w:rPr>
          <w:szCs w:val="24"/>
        </w:rPr>
      </w:pPr>
      <w:proofErr w:type="gramStart"/>
      <w:r w:rsidRPr="00EA4A2A">
        <w:rPr>
          <w:szCs w:val="24"/>
        </w:rPr>
        <w:t>selexipag</w:t>
      </w:r>
      <w:proofErr w:type="gramEnd"/>
      <w:r>
        <w:rPr>
          <w:szCs w:val="24"/>
        </w:rPr>
        <w:t xml:space="preserve"> (not PBS listed)</w:t>
      </w:r>
      <w:r w:rsidRPr="00EA4A2A">
        <w:rPr>
          <w:szCs w:val="24"/>
        </w:rPr>
        <w:t xml:space="preserve"> in combination with an ERA and/or a PDE</w:t>
      </w:r>
      <w:r>
        <w:rPr>
          <w:szCs w:val="24"/>
        </w:rPr>
        <w:t>-</w:t>
      </w:r>
      <w:r w:rsidRPr="00EA4A2A">
        <w:rPr>
          <w:szCs w:val="24"/>
        </w:rPr>
        <w:t>5inhibitor</w:t>
      </w:r>
      <w:r>
        <w:rPr>
          <w:szCs w:val="24"/>
        </w:rPr>
        <w:t>.</w:t>
      </w:r>
    </w:p>
    <w:p w:rsidR="001960CE" w:rsidRPr="00664FCB" w:rsidRDefault="001960CE" w:rsidP="001960CE">
      <w:pPr>
        <w:spacing w:before="120"/>
        <w:jc w:val="left"/>
        <w:rPr>
          <w:szCs w:val="24"/>
        </w:rPr>
      </w:pPr>
      <w:r w:rsidRPr="00664FCB">
        <w:rPr>
          <w:szCs w:val="24"/>
        </w:rPr>
        <w:t xml:space="preserve">The following PAH medicines are TGA indicated for use in triple therapy in WHO FC </w:t>
      </w:r>
      <w:r>
        <w:rPr>
          <w:szCs w:val="24"/>
        </w:rPr>
        <w:t>III and I</w:t>
      </w:r>
      <w:r w:rsidRPr="00664FCB">
        <w:rPr>
          <w:szCs w:val="24"/>
        </w:rPr>
        <w:t>V:</w:t>
      </w:r>
    </w:p>
    <w:p w:rsidR="001960CE" w:rsidRPr="00EA4A2A" w:rsidRDefault="001960CE" w:rsidP="001960CE">
      <w:pPr>
        <w:pStyle w:val="ListParagraph"/>
        <w:widowControl w:val="0"/>
        <w:numPr>
          <w:ilvl w:val="0"/>
          <w:numId w:val="49"/>
        </w:numPr>
        <w:adjustRightInd w:val="0"/>
        <w:spacing w:after="120"/>
        <w:ind w:left="709" w:hanging="283"/>
        <w:contextualSpacing w:val="0"/>
        <w:jc w:val="left"/>
        <w:textAlignment w:val="baseline"/>
        <w:rPr>
          <w:szCs w:val="24"/>
        </w:rPr>
      </w:pPr>
      <w:r>
        <w:rPr>
          <w:szCs w:val="24"/>
        </w:rPr>
        <w:tab/>
      </w:r>
      <w:proofErr w:type="gramStart"/>
      <w:r w:rsidRPr="00EA4A2A">
        <w:rPr>
          <w:szCs w:val="24"/>
        </w:rPr>
        <w:t>selexipag</w:t>
      </w:r>
      <w:proofErr w:type="gramEnd"/>
      <w:r>
        <w:rPr>
          <w:szCs w:val="24"/>
        </w:rPr>
        <w:t xml:space="preserve"> (not PBS listed)</w:t>
      </w:r>
      <w:r w:rsidRPr="00EA4A2A">
        <w:rPr>
          <w:szCs w:val="24"/>
        </w:rPr>
        <w:t xml:space="preserve"> in combination with an ERA and/or a PDE</w:t>
      </w:r>
      <w:r>
        <w:rPr>
          <w:szCs w:val="24"/>
        </w:rPr>
        <w:t>-</w:t>
      </w:r>
      <w:r w:rsidRPr="00EA4A2A">
        <w:rPr>
          <w:szCs w:val="24"/>
        </w:rPr>
        <w:t>5 inhibitor</w:t>
      </w:r>
      <w:r>
        <w:rPr>
          <w:szCs w:val="24"/>
        </w:rPr>
        <w:t>.</w:t>
      </w:r>
    </w:p>
    <w:p w:rsidR="001960CE" w:rsidRPr="005B6C8E" w:rsidRDefault="001960CE" w:rsidP="001960CE">
      <w:pPr>
        <w:pStyle w:val="ListParagraph"/>
        <w:spacing w:after="120"/>
        <w:ind w:left="0"/>
        <w:jc w:val="left"/>
        <w:rPr>
          <w:szCs w:val="24"/>
        </w:rPr>
      </w:pPr>
      <w:r w:rsidRPr="005B6C8E">
        <w:rPr>
          <w:szCs w:val="24"/>
        </w:rPr>
        <w:t>The current PBS restrictions for PAH medicines stipulate that the treatment must be the sole PBS-subsidised PAH agent for this condition.</w:t>
      </w:r>
    </w:p>
    <w:p w:rsidR="001960CE" w:rsidRPr="005B6C8E" w:rsidRDefault="001960CE" w:rsidP="001960CE">
      <w:pPr>
        <w:pStyle w:val="ListParagraph"/>
        <w:spacing w:before="120"/>
        <w:ind w:left="0"/>
        <w:jc w:val="left"/>
        <w:rPr>
          <w:szCs w:val="24"/>
        </w:rPr>
      </w:pPr>
      <w:r w:rsidRPr="005B6C8E">
        <w:rPr>
          <w:szCs w:val="24"/>
        </w:rPr>
        <w:t xml:space="preserve">Patients who fail to demonstrate </w:t>
      </w:r>
      <w:r>
        <w:rPr>
          <w:szCs w:val="24"/>
        </w:rPr>
        <w:t>maintenance or an improvement in haemodynamic and clinical assessments in the first 6 months of</w:t>
      </w:r>
      <w:r w:rsidRPr="005B6C8E">
        <w:rPr>
          <w:szCs w:val="24"/>
        </w:rPr>
        <w:t xml:space="preserve"> PBS-subsidised treatment with a PAH medicine</w:t>
      </w:r>
      <w:r>
        <w:rPr>
          <w:szCs w:val="24"/>
        </w:rPr>
        <w:t xml:space="preserve"> are</w:t>
      </w:r>
      <w:r w:rsidRPr="005B6C8E">
        <w:rPr>
          <w:szCs w:val="24"/>
        </w:rPr>
        <w:t xml:space="preserve"> required </w:t>
      </w:r>
      <w:r>
        <w:rPr>
          <w:szCs w:val="24"/>
        </w:rPr>
        <w:t>to</w:t>
      </w:r>
      <w:r w:rsidRPr="005B6C8E">
        <w:rPr>
          <w:szCs w:val="24"/>
        </w:rPr>
        <w:t xml:space="preserve"> cease therapy with this agent.</w:t>
      </w:r>
      <w:r>
        <w:rPr>
          <w:szCs w:val="24"/>
        </w:rPr>
        <w:t xml:space="preserve"> Patients may switch and initiate another PBS PAH medicine.</w:t>
      </w:r>
    </w:p>
    <w:p w:rsidR="001960CE" w:rsidRPr="005B6C8E" w:rsidRDefault="001960CE" w:rsidP="001960CE">
      <w:pPr>
        <w:pStyle w:val="NormalWeb"/>
        <w:spacing w:line="300" w:lineRule="atLeast"/>
        <w:rPr>
          <w:rFonts w:ascii="Calibri" w:eastAsia="Calibri" w:hAnsi="Calibri"/>
        </w:rPr>
      </w:pPr>
      <w:r w:rsidRPr="005B6C8E">
        <w:rPr>
          <w:rFonts w:ascii="Calibri" w:eastAsia="Calibri" w:hAnsi="Calibri"/>
        </w:rPr>
        <w:t>Response to a PAH agent demonstrating stability or improvement of disease must be assessed by a physician from a designated hospital</w:t>
      </w:r>
      <w:r>
        <w:rPr>
          <w:rFonts w:ascii="Calibri" w:eastAsia="Calibri" w:hAnsi="Calibri"/>
        </w:rPr>
        <w:t>.</w:t>
      </w:r>
    </w:p>
    <w:p w:rsidR="001960CE" w:rsidRPr="005B6C8E" w:rsidRDefault="001960CE" w:rsidP="001960CE">
      <w:pPr>
        <w:spacing w:before="120"/>
        <w:ind w:left="360" w:hanging="360"/>
        <w:jc w:val="left"/>
        <w:rPr>
          <w:szCs w:val="24"/>
          <w:u w:val="single"/>
        </w:rPr>
      </w:pPr>
      <w:r>
        <w:rPr>
          <w:rFonts w:eastAsia="Calibri"/>
        </w:rPr>
        <w:br w:type="page"/>
      </w:r>
      <w:r w:rsidRPr="005B6C8E">
        <w:rPr>
          <w:szCs w:val="24"/>
          <w:u w:val="single"/>
        </w:rPr>
        <w:lastRenderedPageBreak/>
        <w:t>Issues for Consideration</w:t>
      </w:r>
    </w:p>
    <w:p w:rsidR="001960CE" w:rsidRPr="005B6C8E" w:rsidRDefault="001960CE" w:rsidP="001960CE">
      <w:pPr>
        <w:pStyle w:val="ListParagraph"/>
        <w:widowControl w:val="0"/>
        <w:numPr>
          <w:ilvl w:val="0"/>
          <w:numId w:val="35"/>
        </w:numPr>
        <w:adjustRightInd w:val="0"/>
        <w:spacing w:before="120"/>
        <w:ind w:left="567" w:hanging="567"/>
        <w:contextualSpacing w:val="0"/>
        <w:jc w:val="left"/>
        <w:textAlignment w:val="baseline"/>
        <w:rPr>
          <w:szCs w:val="24"/>
        </w:rPr>
      </w:pPr>
      <w:r w:rsidRPr="005B6C8E">
        <w:rPr>
          <w:szCs w:val="24"/>
        </w:rPr>
        <w:t xml:space="preserve">The 2015 </w:t>
      </w:r>
      <w:r>
        <w:rPr>
          <w:szCs w:val="24"/>
        </w:rPr>
        <w:t xml:space="preserve">ERS/ESC </w:t>
      </w:r>
      <w:r w:rsidRPr="005B6C8E">
        <w:rPr>
          <w:szCs w:val="24"/>
        </w:rPr>
        <w:t>gui</w:t>
      </w:r>
      <w:r>
        <w:rPr>
          <w:szCs w:val="24"/>
        </w:rPr>
        <w:t>delines and the CHEST guideline support combination therapy for patients with moderate risk</w:t>
      </w:r>
      <w:r w:rsidRPr="005B6C8E">
        <w:rPr>
          <w:szCs w:val="24"/>
        </w:rPr>
        <w:t xml:space="preserve"> </w:t>
      </w:r>
      <w:r>
        <w:rPr>
          <w:szCs w:val="24"/>
        </w:rPr>
        <w:t xml:space="preserve">and </w:t>
      </w:r>
      <w:r w:rsidRPr="005B6C8E">
        <w:rPr>
          <w:szCs w:val="24"/>
        </w:rPr>
        <w:t>suggest</w:t>
      </w:r>
      <w:r>
        <w:rPr>
          <w:szCs w:val="24"/>
        </w:rPr>
        <w:t xml:space="preserve"> t</w:t>
      </w:r>
      <w:r w:rsidRPr="005B6C8E">
        <w:rPr>
          <w:szCs w:val="24"/>
        </w:rPr>
        <w:t>he overall treatment goal</w:t>
      </w:r>
      <w:r>
        <w:rPr>
          <w:szCs w:val="24"/>
        </w:rPr>
        <w:t xml:space="preserve"> </w:t>
      </w:r>
      <w:r w:rsidRPr="005B6C8E">
        <w:rPr>
          <w:szCs w:val="24"/>
        </w:rPr>
        <w:t>is to achieve a low risk status which is usually associated with good exercise capacity, good quality of life, good RV function and a low mortality risk (WHO FC II). Patient</w:t>
      </w:r>
      <w:r>
        <w:rPr>
          <w:szCs w:val="24"/>
        </w:rPr>
        <w:t>s</w:t>
      </w:r>
      <w:r w:rsidRPr="005B6C8E">
        <w:rPr>
          <w:szCs w:val="24"/>
        </w:rPr>
        <w:t xml:space="preserve"> who are stabilised on one PAH medicine or those who improve slightly, can still receive additional PAH medicines if treatment goals are not met.</w:t>
      </w:r>
    </w:p>
    <w:p w:rsidR="001960CE" w:rsidRDefault="001960CE" w:rsidP="001960CE">
      <w:pPr>
        <w:pStyle w:val="ListParagraph"/>
        <w:widowControl w:val="0"/>
        <w:numPr>
          <w:ilvl w:val="0"/>
          <w:numId w:val="35"/>
        </w:numPr>
        <w:adjustRightInd w:val="0"/>
        <w:spacing w:before="120"/>
        <w:ind w:left="567" w:hanging="567"/>
        <w:contextualSpacing w:val="0"/>
        <w:jc w:val="left"/>
        <w:textAlignment w:val="baseline"/>
        <w:rPr>
          <w:szCs w:val="24"/>
        </w:rPr>
      </w:pPr>
      <w:r w:rsidRPr="005B6C8E">
        <w:rPr>
          <w:szCs w:val="24"/>
        </w:rPr>
        <w:t xml:space="preserve">The 2015 </w:t>
      </w:r>
      <w:r>
        <w:rPr>
          <w:szCs w:val="24"/>
        </w:rPr>
        <w:t xml:space="preserve">ERS/ESC </w:t>
      </w:r>
      <w:r w:rsidRPr="005B6C8E">
        <w:rPr>
          <w:szCs w:val="24"/>
        </w:rPr>
        <w:t>gui</w:t>
      </w:r>
      <w:r>
        <w:rPr>
          <w:szCs w:val="24"/>
        </w:rPr>
        <w:t xml:space="preserve">delines and the CHEST guideline </w:t>
      </w:r>
      <w:r w:rsidRPr="005B6C8E">
        <w:t>concur that the standard of care for patients WHO FC II-IV with inadequate clinical response to monotherapy is to continue on the current therapy and add a further agent from a different class (up to a maximum of 3 PAH medicines,</w:t>
      </w:r>
      <w:r w:rsidRPr="005B6C8E">
        <w:rPr>
          <w:szCs w:val="24"/>
        </w:rPr>
        <w:t xml:space="preserve"> combinations of PDE-5 inhibitors or sGC </w:t>
      </w:r>
      <w:r>
        <w:rPr>
          <w:szCs w:val="24"/>
        </w:rPr>
        <w:t>stimulators</w:t>
      </w:r>
      <w:r w:rsidRPr="005B6C8E">
        <w:rPr>
          <w:szCs w:val="24"/>
        </w:rPr>
        <w:t xml:space="preserve"> with ERAs and prostanoids are recommended</w:t>
      </w:r>
      <w:r>
        <w:rPr>
          <w:szCs w:val="24"/>
        </w:rPr>
        <w:t>).</w:t>
      </w:r>
    </w:p>
    <w:p w:rsidR="001960CE" w:rsidRDefault="001960CE" w:rsidP="001960CE">
      <w:pPr>
        <w:pStyle w:val="ListParagraph"/>
        <w:widowControl w:val="0"/>
        <w:numPr>
          <w:ilvl w:val="0"/>
          <w:numId w:val="41"/>
        </w:numPr>
        <w:adjustRightInd w:val="0"/>
        <w:spacing w:before="120"/>
        <w:ind w:left="567" w:hanging="567"/>
        <w:contextualSpacing w:val="0"/>
        <w:jc w:val="left"/>
        <w:textAlignment w:val="baseline"/>
      </w:pPr>
      <w:r w:rsidRPr="005B6C8E">
        <w:rPr>
          <w:szCs w:val="24"/>
        </w:rPr>
        <w:t xml:space="preserve">The 2015 </w:t>
      </w:r>
      <w:r>
        <w:rPr>
          <w:szCs w:val="24"/>
        </w:rPr>
        <w:t xml:space="preserve">ERS/ESC </w:t>
      </w:r>
      <w:r w:rsidRPr="005B6C8E">
        <w:rPr>
          <w:szCs w:val="24"/>
        </w:rPr>
        <w:t>gui</w:t>
      </w:r>
      <w:r>
        <w:rPr>
          <w:szCs w:val="24"/>
        </w:rPr>
        <w:t xml:space="preserve">delines and the CHEST guideline </w:t>
      </w:r>
      <w:r w:rsidRPr="005B6C8E">
        <w:t xml:space="preserve">recommend initial combination therapy for </w:t>
      </w:r>
      <w:r>
        <w:t xml:space="preserve">patients presenting with </w:t>
      </w:r>
      <w:r w:rsidRPr="005B6C8E">
        <w:t xml:space="preserve">WHO FC III and WHO FC IV </w:t>
      </w:r>
      <w:r>
        <w:t xml:space="preserve">assessed </w:t>
      </w:r>
      <w:r w:rsidRPr="005B6C8E">
        <w:t>with high risk factors.</w:t>
      </w:r>
    </w:p>
    <w:p w:rsidR="001960CE" w:rsidRPr="00BE4BFD" w:rsidRDefault="001960CE" w:rsidP="001960CE">
      <w:pPr>
        <w:pStyle w:val="ListParagraph"/>
        <w:widowControl w:val="0"/>
        <w:numPr>
          <w:ilvl w:val="0"/>
          <w:numId w:val="41"/>
        </w:numPr>
        <w:adjustRightInd w:val="0"/>
        <w:spacing w:before="120"/>
        <w:ind w:left="567" w:hanging="567"/>
        <w:contextualSpacing w:val="0"/>
        <w:jc w:val="left"/>
        <w:textAlignment w:val="baseline"/>
      </w:pPr>
      <w:r w:rsidRPr="00BE4BFD">
        <w:t xml:space="preserve">Use of initial combination therapies in general is contrary to Quality </w:t>
      </w:r>
      <w:r>
        <w:t>U</w:t>
      </w:r>
      <w:r w:rsidRPr="00BE4BFD">
        <w:t>se of Medicine principles</w:t>
      </w:r>
      <w:r>
        <w:t xml:space="preserve"> in Australia</w:t>
      </w:r>
      <w:r w:rsidRPr="00BE4BFD">
        <w:t>, whereby response to a single medicine should be confirmed prior to initiating a second medicine. According to current PBS restrictions if there is no response (i.e. stability or improvement of disease) to the first PAH therapy, the medicine should be ceased.</w:t>
      </w:r>
    </w:p>
    <w:p w:rsidR="001960CE" w:rsidRPr="00664FCB"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According to the literature review in TOR 4, t</w:t>
      </w:r>
      <w:r w:rsidRPr="005B6C8E">
        <w:rPr>
          <w:szCs w:val="24"/>
        </w:rPr>
        <w:t>he</w:t>
      </w:r>
      <w:r>
        <w:rPr>
          <w:szCs w:val="24"/>
        </w:rPr>
        <w:t xml:space="preserve"> majority of the </w:t>
      </w:r>
      <w:r w:rsidRPr="005B6C8E">
        <w:rPr>
          <w:szCs w:val="24"/>
        </w:rPr>
        <w:t xml:space="preserve">available clinical trial evidence to support </w:t>
      </w:r>
      <w:r>
        <w:rPr>
          <w:szCs w:val="24"/>
        </w:rPr>
        <w:t>c</w:t>
      </w:r>
      <w:r w:rsidRPr="005B6C8E">
        <w:rPr>
          <w:szCs w:val="24"/>
        </w:rPr>
        <w:t xml:space="preserve">ombination therapy with PAH medicines </w:t>
      </w:r>
      <w:r w:rsidRPr="00664FCB">
        <w:rPr>
          <w:szCs w:val="24"/>
        </w:rPr>
        <w:t>is in the whole PAH population and not presented according to WHO FC</w:t>
      </w:r>
      <w:r>
        <w:rPr>
          <w:szCs w:val="24"/>
        </w:rPr>
        <w:t xml:space="preserve"> III/IV</w:t>
      </w:r>
      <w:r w:rsidRPr="00664FCB">
        <w:rPr>
          <w:szCs w:val="24"/>
        </w:rPr>
        <w:t>.</w:t>
      </w:r>
      <w:r>
        <w:rPr>
          <w:szCs w:val="24"/>
        </w:rPr>
        <w:t xml:space="preserve"> The exception was the four trials that assessed the benefit of adding ERA to a prostanoid or vice versa, that were all conducted in predominantly patients in WHO FC III or IV.</w:t>
      </w:r>
    </w:p>
    <w:p w:rsidR="001960CE" w:rsidRPr="00FC07B4" w:rsidRDefault="001960CE" w:rsidP="001960CE">
      <w:pPr>
        <w:widowControl w:val="0"/>
        <w:numPr>
          <w:ilvl w:val="0"/>
          <w:numId w:val="53"/>
        </w:numPr>
        <w:adjustRightInd w:val="0"/>
        <w:spacing w:before="120"/>
        <w:jc w:val="left"/>
        <w:textAlignment w:val="baseline"/>
      </w:pPr>
      <w:r w:rsidRPr="00664FCB">
        <w:rPr>
          <w:szCs w:val="24"/>
        </w:rPr>
        <w:t>In most dual combination PAH therapy trials there was some evidence to suggest benefit from adding a second PAH medicines compared to being treated with monotherapy</w:t>
      </w:r>
      <w:r>
        <w:rPr>
          <w:szCs w:val="24"/>
        </w:rPr>
        <w:t>, noting much of this evidence relied on sub-group analyses for WHO FC III/IV</w:t>
      </w:r>
      <w:r w:rsidDel="00FC7F5E">
        <w:rPr>
          <w:szCs w:val="24"/>
        </w:rPr>
        <w:t xml:space="preserve"> </w:t>
      </w:r>
      <w:r>
        <w:rPr>
          <w:szCs w:val="24"/>
        </w:rPr>
        <w:t>or the whole PAH population.</w:t>
      </w:r>
    </w:p>
    <w:p w:rsidR="001960CE"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Overall i</w:t>
      </w:r>
      <w:r w:rsidRPr="00634C1A">
        <w:rPr>
          <w:szCs w:val="24"/>
        </w:rPr>
        <w:t>n terms of safety, combination therapy could be non-inferior to monotherapy, noting some uncertainty</w:t>
      </w:r>
      <w:r>
        <w:rPr>
          <w:szCs w:val="24"/>
        </w:rPr>
        <w:t xml:space="preserve"> and also paucity of data.</w:t>
      </w:r>
    </w:p>
    <w:p w:rsidR="001960CE" w:rsidRPr="00634C1A" w:rsidRDefault="001960CE" w:rsidP="001960CE">
      <w:pPr>
        <w:pStyle w:val="ListParagraph"/>
        <w:widowControl w:val="0"/>
        <w:numPr>
          <w:ilvl w:val="0"/>
          <w:numId w:val="41"/>
        </w:numPr>
        <w:adjustRightInd w:val="0"/>
        <w:spacing w:after="120"/>
        <w:ind w:left="567" w:hanging="567"/>
        <w:jc w:val="left"/>
        <w:textAlignment w:val="baseline"/>
        <w:rPr>
          <w:szCs w:val="24"/>
        </w:rPr>
      </w:pPr>
      <w:r w:rsidRPr="00634C1A">
        <w:rPr>
          <w:szCs w:val="24"/>
        </w:rPr>
        <w:t xml:space="preserve">There is </w:t>
      </w:r>
      <w:r>
        <w:rPr>
          <w:szCs w:val="24"/>
        </w:rPr>
        <w:t xml:space="preserve">a </w:t>
      </w:r>
      <w:r w:rsidRPr="00634C1A">
        <w:rPr>
          <w:szCs w:val="24"/>
        </w:rPr>
        <w:t>possible safety concern for serious adverse events (AEs) in the subgroup of patients with PAH-CTD treated with a PDE-5 inhibitor in addition to an ERA.</w:t>
      </w:r>
    </w:p>
    <w:p w:rsidR="001960CE" w:rsidRPr="00634C1A"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There</w:t>
      </w:r>
      <w:r w:rsidRPr="00634C1A">
        <w:rPr>
          <w:szCs w:val="24"/>
        </w:rPr>
        <w:t xml:space="preserve"> is considerable uncertainty as to whether the use of a prostanoid in addition to an ERA is likely to be as safe as ERA monotherapy in patients with WHO FC III/IV PAH</w:t>
      </w:r>
      <w:r>
        <w:rPr>
          <w:szCs w:val="24"/>
        </w:rPr>
        <w:t>.</w:t>
      </w:r>
    </w:p>
    <w:p w:rsidR="001960CE" w:rsidRPr="00DA4CBD" w:rsidRDefault="001960CE" w:rsidP="001960CE">
      <w:pPr>
        <w:keepNext/>
        <w:keepLines/>
        <w:spacing w:before="120"/>
        <w:ind w:left="720"/>
        <w:jc w:val="left"/>
        <w:rPr>
          <w:b/>
        </w:rPr>
      </w:pPr>
      <w:r w:rsidRPr="00DA4CBD">
        <w:rPr>
          <w:b/>
        </w:rPr>
        <w:lastRenderedPageBreak/>
        <w:t>Commercial in confidence - Start</w:t>
      </w:r>
    </w:p>
    <w:p w:rsidR="001960CE" w:rsidRPr="002E6D42" w:rsidRDefault="00A765F3" w:rsidP="00A765F3">
      <w:pPr>
        <w:keepNext/>
        <w:keepLines/>
        <w:widowControl w:val="0"/>
        <w:spacing w:before="120"/>
        <w:ind w:left="1080" w:hanging="360"/>
        <w:jc w:val="left"/>
        <w:textAlignment w:val="baseline"/>
        <w:rPr>
          <w:sz w:val="16"/>
          <w:szCs w:val="16"/>
          <w:highlight w:val="black"/>
        </w:rPr>
      </w:pPr>
      <w:r w:rsidRPr="002E6D42">
        <w:rPr>
          <w:rFonts w:ascii="Courier New" w:hAnsi="Courier New" w:cs="Courier New"/>
          <w:noProof/>
          <w:color w:val="000000"/>
          <w:sz w:val="16"/>
          <w:szCs w:val="16"/>
          <w:highlight w:val="black"/>
        </w:rPr>
        <w:t>''''''''''' ''''' '''''''''''''''' '''' '''''''' '''''''' '''''''''' ''''''''' '''''''''' '''' '''''''''''''''''''''''' '''''''''''''''''''''''' ''''' '''' '''''''''''''''' ''''''''''''''''' ''''''''''''''''''' '''''' '''''''''''''' ''''''''''''''' ''''''''''' ''' '''''''' ''''''''''''''''''' ''' '''''''''''' '' '''''''''''''''''''' ''''''''''''''''''''' ''''' ''''''''''''''''''' ''''''''''''''''''''''''''''</w:t>
      </w:r>
    </w:p>
    <w:p w:rsidR="001960CE" w:rsidRPr="00DA4CBD" w:rsidRDefault="001960CE" w:rsidP="001960CE">
      <w:pPr>
        <w:keepNext/>
        <w:keepLines/>
        <w:spacing w:before="120"/>
        <w:ind w:left="720"/>
        <w:jc w:val="left"/>
        <w:rPr>
          <w:b/>
        </w:rPr>
      </w:pPr>
      <w:r w:rsidRPr="00DA4CBD">
        <w:rPr>
          <w:b/>
        </w:rPr>
        <w:t>Commercial in confidence - End</w:t>
      </w:r>
    </w:p>
    <w:p w:rsidR="001960CE" w:rsidRPr="005B6C8E" w:rsidRDefault="001960CE" w:rsidP="001960CE">
      <w:pPr>
        <w:keepNext/>
        <w:keepLines/>
        <w:widowControl w:val="0"/>
        <w:numPr>
          <w:ilvl w:val="0"/>
          <w:numId w:val="52"/>
        </w:numPr>
        <w:spacing w:before="120"/>
        <w:ind w:left="567" w:hanging="567"/>
        <w:jc w:val="left"/>
        <w:textAlignment w:val="baseline"/>
        <w:rPr>
          <w:szCs w:val="24"/>
        </w:rPr>
      </w:pPr>
      <w:r>
        <w:rPr>
          <w:szCs w:val="24"/>
        </w:rPr>
        <w:t>T</w:t>
      </w:r>
      <w:r w:rsidRPr="005B6C8E">
        <w:rPr>
          <w:szCs w:val="24"/>
        </w:rPr>
        <w:t>here were no trials or larger observational studies found that</w:t>
      </w:r>
      <w:r>
        <w:rPr>
          <w:szCs w:val="24"/>
        </w:rPr>
        <w:t xml:space="preserve"> included current PBS PAH medicines that</w:t>
      </w:r>
      <w:r w:rsidRPr="005B6C8E">
        <w:rPr>
          <w:szCs w:val="24"/>
        </w:rPr>
        <w:t xml:space="preserve"> compared triple combination therapy with dual combination therapy in any patients with PAH.</w:t>
      </w:r>
    </w:p>
    <w:p w:rsidR="001960CE" w:rsidRDefault="001960CE" w:rsidP="001960CE">
      <w:pPr>
        <w:keepNext/>
        <w:keepLines/>
        <w:widowControl w:val="0"/>
        <w:numPr>
          <w:ilvl w:val="0"/>
          <w:numId w:val="52"/>
        </w:numPr>
        <w:spacing w:before="120"/>
        <w:ind w:left="567" w:hanging="567"/>
        <w:jc w:val="left"/>
        <w:textAlignment w:val="baseline"/>
        <w:rPr>
          <w:szCs w:val="24"/>
        </w:rPr>
      </w:pPr>
      <w:r w:rsidRPr="00AB67D8" w:rsidDel="00950BE2">
        <w:rPr>
          <w:szCs w:val="24"/>
        </w:rPr>
        <w:t>Registry data identifies that currently about 40% of patients receive dual combination therapy and 10% triple combination therapy.</w:t>
      </w:r>
    </w:p>
    <w:p w:rsidR="001960CE" w:rsidRDefault="001960CE" w:rsidP="001960CE">
      <w:pPr>
        <w:keepNext/>
        <w:keepLines/>
        <w:widowControl w:val="0"/>
        <w:numPr>
          <w:ilvl w:val="0"/>
          <w:numId w:val="52"/>
        </w:numPr>
        <w:spacing w:before="120"/>
        <w:ind w:left="567" w:hanging="567"/>
        <w:jc w:val="left"/>
        <w:textAlignment w:val="baseline"/>
      </w:pPr>
      <w:r w:rsidRPr="00AB67D8">
        <w:t xml:space="preserve">The PBAC has </w:t>
      </w:r>
      <w:r>
        <w:t>considered two</w:t>
      </w:r>
      <w:r w:rsidRPr="00AB67D8">
        <w:t xml:space="preserve"> submission</w:t>
      </w:r>
      <w:r>
        <w:t>s</w:t>
      </w:r>
      <w:r w:rsidRPr="00AB67D8">
        <w:t xml:space="preserve"> for combination therapy; selexipag in combination with and ERA and</w:t>
      </w:r>
      <w:r>
        <w:t xml:space="preserve"> or</w:t>
      </w:r>
      <w:r w:rsidRPr="00AB67D8">
        <w:t xml:space="preserve"> PDE-5 (</w:t>
      </w:r>
      <w:r>
        <w:t xml:space="preserve">Selexipag </w:t>
      </w:r>
      <w:r w:rsidRPr="00AB67D8">
        <w:t>P</w:t>
      </w:r>
      <w:r>
        <w:t xml:space="preserve">ublic </w:t>
      </w:r>
      <w:r w:rsidRPr="00AB67D8">
        <w:t>S</w:t>
      </w:r>
      <w:r>
        <w:t xml:space="preserve">ummary </w:t>
      </w:r>
      <w:r w:rsidRPr="00AB67D8">
        <w:t>D</w:t>
      </w:r>
      <w:r>
        <w:t>ocument</w:t>
      </w:r>
      <w:r w:rsidRPr="00AB67D8">
        <w:t>s</w:t>
      </w:r>
      <w:r>
        <w:t xml:space="preserve">, </w:t>
      </w:r>
      <w:r w:rsidRPr="00AB67D8">
        <w:t xml:space="preserve">2016 and 2017). Both submissions were rejected </w:t>
      </w:r>
      <w:r>
        <w:t>because</w:t>
      </w:r>
      <w:r w:rsidRPr="00AB67D8">
        <w:t xml:space="preserve"> the </w:t>
      </w:r>
      <w:r>
        <w:t>magnitude and clinical relevance of any benefit remained unclear and the cost-effectiveness analysis presented a high and uncertain ICER.</w:t>
      </w:r>
    </w:p>
    <w:p w:rsidR="001960CE" w:rsidRPr="00AB67D8" w:rsidRDefault="001960CE" w:rsidP="001960CE">
      <w:pPr>
        <w:keepNext/>
        <w:keepLines/>
        <w:widowControl w:val="0"/>
        <w:numPr>
          <w:ilvl w:val="0"/>
          <w:numId w:val="52"/>
        </w:numPr>
        <w:spacing w:before="120"/>
        <w:ind w:left="567" w:hanging="567"/>
        <w:jc w:val="left"/>
        <w:textAlignment w:val="baseline"/>
      </w:pPr>
      <w:r>
        <w:t xml:space="preserve">PBAC noted </w:t>
      </w:r>
      <w:r w:rsidRPr="00AB67D8">
        <w:t>that cost-effectiveness in the setting of monotherapy cannot necessarily be generalised to cost-effectiveness in the setting of combination therapy (Selexipag Public Summary Document, March 2016).</w:t>
      </w:r>
    </w:p>
    <w:p w:rsidR="001960CE" w:rsidRPr="005B6C8E" w:rsidRDefault="001960CE" w:rsidP="001960CE">
      <w:pPr>
        <w:spacing w:before="120"/>
        <w:ind w:left="360" w:hanging="360"/>
        <w:jc w:val="left"/>
        <w:rPr>
          <w:szCs w:val="24"/>
          <w:u w:val="single"/>
        </w:rPr>
      </w:pPr>
      <w:r w:rsidRPr="005B6C8E">
        <w:rPr>
          <w:szCs w:val="24"/>
          <w:u w:val="single"/>
        </w:rPr>
        <w:t>Stakeholder views</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The majority of consumers attending the PHAA patient day advised that they were on dual or triple therapy.</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Some consumers started on dual/triple therapy at the time of diagnosis due to</w:t>
      </w:r>
      <w:r>
        <w:rPr>
          <w:szCs w:val="24"/>
        </w:rPr>
        <w:t xml:space="preserve"> the severity of their disease.</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Consumers advised that they usually stay on the same medicines and add a further medicine to address worsening symptoms.</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Consumers experience anxiety about the continued availability of PAH medicines, especially at the time when particular pharmaceutical acces</w:t>
      </w:r>
      <w:r>
        <w:rPr>
          <w:szCs w:val="24"/>
        </w:rPr>
        <w:t>s programs or drug trials end.</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Consumers and other stakeholders noted the financial burden for themselves, family and friends.  This included the cost of PBS co-payments for medicines (non-concessional), cost of privately funded medicines and accessories, such needles and syringes, dressings of permanent IV lin</w:t>
      </w:r>
      <w:r>
        <w:rPr>
          <w:szCs w:val="24"/>
        </w:rPr>
        <w:t>es, oxygen and/or other tests.</w:t>
      </w:r>
    </w:p>
    <w:p w:rsidR="001960CE" w:rsidRPr="005B6C8E" w:rsidRDefault="001960CE" w:rsidP="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 xml:space="preserve">There is concern that Australians do not have the same access to the range or </w:t>
      </w:r>
      <w:r w:rsidRPr="005B6C8E">
        <w:rPr>
          <w:szCs w:val="24"/>
        </w:rPr>
        <w:lastRenderedPageBreak/>
        <w:t>combinations of PAH drugs at an affordable cost, compared to international patients.</w:t>
      </w:r>
    </w:p>
    <w:p w:rsidR="001960CE" w:rsidRDefault="001960CE" w:rsidP="001960CE">
      <w:pPr>
        <w:jc w:val="left"/>
        <w:rPr>
          <w:b/>
          <w:i/>
          <w:szCs w:val="24"/>
        </w:rPr>
      </w:pPr>
      <w:r w:rsidRPr="005B6C8E">
        <w:rPr>
          <w:b/>
          <w:i/>
          <w:szCs w:val="24"/>
        </w:rPr>
        <w:t>Option</w:t>
      </w:r>
      <w:r>
        <w:rPr>
          <w:b/>
          <w:i/>
          <w:szCs w:val="24"/>
        </w:rPr>
        <w:t xml:space="preserve"> 4</w:t>
      </w:r>
      <w:r w:rsidRPr="005B6C8E">
        <w:rPr>
          <w:b/>
          <w:i/>
          <w:szCs w:val="24"/>
        </w:rPr>
        <w:t xml:space="preserve">: </w:t>
      </w:r>
      <w:r>
        <w:rPr>
          <w:b/>
          <w:i/>
          <w:szCs w:val="24"/>
        </w:rPr>
        <w:t>To align PBS restrictions for PAH medicines with clinical treatment guidelines, consider:</w:t>
      </w:r>
    </w:p>
    <w:p w:rsidR="001960CE" w:rsidRDefault="001960CE" w:rsidP="001960CE">
      <w:pPr>
        <w:widowControl w:val="0"/>
        <w:numPr>
          <w:ilvl w:val="1"/>
          <w:numId w:val="40"/>
        </w:numPr>
        <w:adjustRightInd w:val="0"/>
        <w:ind w:left="0" w:firstLine="0"/>
        <w:jc w:val="left"/>
        <w:textAlignment w:val="baseline"/>
        <w:rPr>
          <w:b/>
          <w:i/>
          <w:szCs w:val="24"/>
        </w:rPr>
      </w:pPr>
      <w:r>
        <w:rPr>
          <w:b/>
          <w:i/>
          <w:szCs w:val="24"/>
        </w:rPr>
        <w:t>including a NOTE in the PBS restrictions identifying the need for a positive vasoreactivity test prior to trialling vasodilator (calcium channel blocker) treatment and</w:t>
      </w:r>
    </w:p>
    <w:p w:rsidR="001960CE" w:rsidRDefault="001960CE" w:rsidP="001960CE">
      <w:pPr>
        <w:widowControl w:val="0"/>
        <w:numPr>
          <w:ilvl w:val="1"/>
          <w:numId w:val="40"/>
        </w:numPr>
        <w:adjustRightInd w:val="0"/>
        <w:spacing w:before="120"/>
        <w:ind w:left="0" w:firstLine="0"/>
        <w:jc w:val="left"/>
        <w:textAlignment w:val="baseline"/>
        <w:rPr>
          <w:b/>
          <w:i/>
          <w:szCs w:val="24"/>
        </w:rPr>
      </w:pPr>
      <w:proofErr w:type="gramStart"/>
      <w:r w:rsidRPr="007C14F5">
        <w:rPr>
          <w:b/>
          <w:i/>
          <w:szCs w:val="24"/>
        </w:rPr>
        <w:t>removing</w:t>
      </w:r>
      <w:proofErr w:type="gramEnd"/>
      <w:r w:rsidRPr="007C14F5">
        <w:rPr>
          <w:b/>
          <w:i/>
          <w:szCs w:val="24"/>
        </w:rPr>
        <w:t xml:space="preserve"> the requirement for a tr</w:t>
      </w:r>
      <w:r>
        <w:rPr>
          <w:b/>
          <w:i/>
          <w:szCs w:val="24"/>
        </w:rPr>
        <w:t>ia</w:t>
      </w:r>
      <w:r w:rsidRPr="007C14F5">
        <w:rPr>
          <w:b/>
          <w:i/>
          <w:szCs w:val="24"/>
        </w:rPr>
        <w:t>l of vasodilator</w:t>
      </w:r>
      <w:r w:rsidRPr="0096521B">
        <w:rPr>
          <w:b/>
          <w:i/>
          <w:szCs w:val="24"/>
        </w:rPr>
        <w:t xml:space="preserve"> </w:t>
      </w:r>
      <w:r>
        <w:rPr>
          <w:b/>
          <w:i/>
          <w:szCs w:val="24"/>
        </w:rPr>
        <w:t xml:space="preserve">(calcium channel blockers) </w:t>
      </w:r>
      <w:r w:rsidRPr="007C14F5">
        <w:rPr>
          <w:b/>
          <w:i/>
          <w:szCs w:val="24"/>
        </w:rPr>
        <w:t>for PAH-CTD</w:t>
      </w:r>
      <w:r>
        <w:rPr>
          <w:b/>
          <w:i/>
          <w:szCs w:val="24"/>
        </w:rPr>
        <w:t>.</w:t>
      </w:r>
      <w:r w:rsidRPr="007C14F5">
        <w:rPr>
          <w:b/>
          <w:i/>
          <w:szCs w:val="24"/>
        </w:rPr>
        <w:t xml:space="preserve"> </w:t>
      </w:r>
    </w:p>
    <w:p w:rsidR="001960CE" w:rsidRPr="004B4FB9" w:rsidRDefault="001960CE" w:rsidP="001960CE">
      <w:pPr>
        <w:spacing w:before="120"/>
        <w:jc w:val="left"/>
        <w:rPr>
          <w:szCs w:val="24"/>
          <w:u w:val="single"/>
        </w:rPr>
      </w:pPr>
      <w:r w:rsidRPr="004B4FB9">
        <w:rPr>
          <w:szCs w:val="24"/>
          <w:u w:val="single"/>
        </w:rPr>
        <w:t>Current PBS restriction criterion</w:t>
      </w:r>
    </w:p>
    <w:p w:rsidR="001960CE" w:rsidRPr="005B6C8E" w:rsidRDefault="001960CE" w:rsidP="001960CE">
      <w:pPr>
        <w:spacing w:after="120"/>
        <w:jc w:val="left"/>
      </w:pPr>
      <w:r w:rsidRPr="005B6C8E">
        <w:t>To access PAH medicines, current PBS restriction</w:t>
      </w:r>
      <w:r>
        <w:t>s</w:t>
      </w:r>
      <w:r w:rsidRPr="005B6C8E">
        <w:t xml:space="preserve"> require evidence of prior vasodilator treatment in patients</w:t>
      </w:r>
      <w:r>
        <w:t xml:space="preserve"> as follows:</w:t>
      </w:r>
    </w:p>
    <w:p w:rsidR="001960CE" w:rsidRPr="005B6C8E" w:rsidRDefault="001960CE" w:rsidP="001960CE">
      <w:pPr>
        <w:shd w:val="clear" w:color="auto" w:fill="FFFFFF"/>
        <w:spacing w:after="240" w:line="300" w:lineRule="atLeast"/>
        <w:jc w:val="left"/>
      </w:pPr>
      <w:r w:rsidRPr="005B6C8E">
        <w:t>….Patient must have WHO Functional Class III [idiopathic, hereditable, drug-induced PAH or PAH secondary to CTD] PAH;</w:t>
      </w:r>
    </w:p>
    <w:p w:rsidR="001960CE" w:rsidRPr="005B6C8E" w:rsidRDefault="001960CE" w:rsidP="001960CE">
      <w:pPr>
        <w:shd w:val="clear" w:color="auto" w:fill="FFFFFF"/>
        <w:spacing w:after="240" w:line="300" w:lineRule="atLeast"/>
        <w:jc w:val="left"/>
      </w:pPr>
      <w:r w:rsidRPr="005B6C8E">
        <w:t>AND</w:t>
      </w:r>
    </w:p>
    <w:p w:rsidR="001960CE" w:rsidRPr="005B6C8E" w:rsidRDefault="001960CE" w:rsidP="001960CE">
      <w:pPr>
        <w:shd w:val="clear" w:color="auto" w:fill="FFFFFF"/>
        <w:spacing w:after="240" w:line="300" w:lineRule="atLeast"/>
        <w:jc w:val="left"/>
      </w:pPr>
      <w:r w:rsidRPr="005B6C8E">
        <w:t>Patient must have a mean right atrial pressure of 8 mmHg or less as measured by right heart catheterisation (RHC); ….</w:t>
      </w:r>
    </w:p>
    <w:p w:rsidR="001960CE" w:rsidRPr="005B6C8E" w:rsidRDefault="001960CE" w:rsidP="001960CE">
      <w:pPr>
        <w:shd w:val="clear" w:color="auto" w:fill="FFFFFF"/>
        <w:spacing w:after="240" w:line="300" w:lineRule="atLeast"/>
        <w:jc w:val="left"/>
      </w:pPr>
      <w:r w:rsidRPr="005B6C8E">
        <w:t>….Patient must have failed to respond to 6 or more weeks of appropriate vasodilator treatment unless intolerance or a contraindication to such treatment exists, Details of prior vasodilator treatment, including the dose and duration of treatment, must be provided at the time of application. Where the patient has an adverse event to a vasodilator or where vasodilator treatment is contraindicated, details of the nature of the adverse event or contraindication according to the Therapeutic Goods Administration (TGA) approved Product Information must also be provided with the application.</w:t>
      </w:r>
    </w:p>
    <w:p w:rsidR="001960CE" w:rsidRPr="004B4FB9" w:rsidRDefault="001960CE" w:rsidP="001960CE">
      <w:pPr>
        <w:spacing w:before="120"/>
        <w:ind w:left="360" w:hanging="360"/>
        <w:jc w:val="left"/>
        <w:rPr>
          <w:szCs w:val="24"/>
          <w:u w:val="single"/>
        </w:rPr>
      </w:pPr>
      <w:r w:rsidRPr="004B4FB9">
        <w:rPr>
          <w:szCs w:val="24"/>
          <w:u w:val="single"/>
        </w:rPr>
        <w:t>Issues for consideration</w:t>
      </w:r>
    </w:p>
    <w:p w:rsidR="001960CE" w:rsidRPr="005B6C8E" w:rsidRDefault="001960CE" w:rsidP="001960CE">
      <w:pPr>
        <w:widowControl w:val="0"/>
        <w:numPr>
          <w:ilvl w:val="0"/>
          <w:numId w:val="51"/>
        </w:numPr>
        <w:adjustRightInd w:val="0"/>
        <w:spacing w:after="120"/>
        <w:jc w:val="left"/>
        <w:textAlignment w:val="baseline"/>
      </w:pPr>
      <w:r w:rsidRPr="005B6C8E">
        <w:t>Clinical guidelines identify that vasodilator treatment with high doses of calcium channel blockers (CCB) leads to a favourable response in only a subset of pati</w:t>
      </w:r>
      <w:r>
        <w:t>ents with PAH in WHO FC II-III.</w:t>
      </w:r>
    </w:p>
    <w:p w:rsidR="001960CE" w:rsidRPr="005B6C8E" w:rsidRDefault="001960CE" w:rsidP="001960CE">
      <w:pPr>
        <w:widowControl w:val="0"/>
        <w:numPr>
          <w:ilvl w:val="0"/>
          <w:numId w:val="51"/>
        </w:numPr>
        <w:adjustRightInd w:val="0"/>
        <w:spacing w:after="120"/>
        <w:jc w:val="left"/>
        <w:textAlignment w:val="baseline"/>
      </w:pPr>
      <w:r w:rsidRPr="005B6C8E">
        <w:t>Clinical guidelines recommend vasoreactivity testing in patients with IPAH, HPAH and PAH associated with drugs use to detect patients who can be treated with high doses of a CCB. This is consiste</w:t>
      </w:r>
      <w:r>
        <w:t xml:space="preserve">nt with the PBS restriction. </w:t>
      </w:r>
      <w:r w:rsidRPr="005B6C8E">
        <w:t>However, unlike PBS restrictions, guidelines do not recommend a trial of vasodilators (CCB) for treatment of PAH</w:t>
      </w:r>
      <w:r>
        <w:t xml:space="preserve"> </w:t>
      </w:r>
      <w:r w:rsidRPr="005B6C8E">
        <w:t>- CTD.</w:t>
      </w:r>
    </w:p>
    <w:p w:rsidR="001960CE" w:rsidRPr="007C14F5" w:rsidRDefault="001960CE" w:rsidP="001960CE">
      <w:pPr>
        <w:widowControl w:val="0"/>
        <w:numPr>
          <w:ilvl w:val="0"/>
          <w:numId w:val="51"/>
        </w:numPr>
        <w:adjustRightInd w:val="0"/>
        <w:jc w:val="left"/>
        <w:textAlignment w:val="baseline"/>
        <w:rPr>
          <w:szCs w:val="24"/>
          <w:u w:val="single"/>
        </w:rPr>
      </w:pPr>
      <w:r w:rsidRPr="007C14F5">
        <w:t xml:space="preserve">Clinical guidelines recommend that patients who have not undergone a vasoreactivity study during right heart </w:t>
      </w:r>
      <w:proofErr w:type="spellStart"/>
      <w:r w:rsidRPr="007C14F5">
        <w:t>catherisation</w:t>
      </w:r>
      <w:proofErr w:type="spellEnd"/>
      <w:r w:rsidRPr="007C14F5">
        <w:t xml:space="preserve"> (RHC) or those with a negative study should not be started on CCBs because of potential severe side effects (e.g. hypotension, syncope and RV failure)</w:t>
      </w:r>
      <w:r>
        <w:t>.T</w:t>
      </w:r>
      <w:r w:rsidRPr="007C14F5">
        <w:t>he PBS restriction does not explicitly state that a positive vasorea</w:t>
      </w:r>
      <w:r>
        <w:t>c</w:t>
      </w:r>
      <w:r w:rsidRPr="007C14F5">
        <w:t>tivity study is best practice prior to tr</w:t>
      </w:r>
      <w:r>
        <w:t xml:space="preserve">ialling </w:t>
      </w:r>
      <w:r w:rsidRPr="007C14F5">
        <w:t>vasodilator therapy.</w:t>
      </w:r>
    </w:p>
    <w:p w:rsidR="001960CE" w:rsidRPr="007C14F5" w:rsidRDefault="001960CE" w:rsidP="001960CE">
      <w:pPr>
        <w:jc w:val="left"/>
        <w:rPr>
          <w:szCs w:val="24"/>
          <w:u w:val="single"/>
        </w:rPr>
      </w:pPr>
      <w:r w:rsidRPr="007C14F5">
        <w:rPr>
          <w:szCs w:val="24"/>
          <w:u w:val="single"/>
        </w:rPr>
        <w:lastRenderedPageBreak/>
        <w:t>Stakeholder views</w:t>
      </w:r>
    </w:p>
    <w:p w:rsidR="001960CE" w:rsidRPr="008B6C41" w:rsidRDefault="001960CE" w:rsidP="001960CE">
      <w:pPr>
        <w:widowControl w:val="0"/>
        <w:numPr>
          <w:ilvl w:val="0"/>
          <w:numId w:val="51"/>
        </w:numPr>
        <w:adjustRightInd w:val="0"/>
        <w:jc w:val="left"/>
        <w:textAlignment w:val="baseline"/>
      </w:pPr>
      <w:r>
        <w:t xml:space="preserve">A </w:t>
      </w:r>
      <w:r w:rsidRPr="00114B98">
        <w:t>stakeholder suggested a review of the criteria for starting therapy and specifically, the need for a several week trial of vasodilator therapy. The stakeholder expressed concern with respect to the PBS mandated trial of a calcium channel blocker for eight weeks (if mean right atrial pressure &lt;8mmHg) across all WHO Group 1 patients. This is not supported by evidence and this blanket requirement should be removed, and noted that it can even be dangerous, via adverse effects on the impaired right</w:t>
      </w:r>
      <w:r w:rsidRPr="008B6C41">
        <w:t xml:space="preserve"> ventricle.</w:t>
      </w:r>
    </w:p>
    <w:p w:rsidR="001960CE" w:rsidRPr="00114B98" w:rsidRDefault="001960CE" w:rsidP="001960CE">
      <w:pPr>
        <w:widowControl w:val="0"/>
        <w:numPr>
          <w:ilvl w:val="0"/>
          <w:numId w:val="51"/>
        </w:numPr>
        <w:adjustRightInd w:val="0"/>
        <w:jc w:val="left"/>
        <w:textAlignment w:val="baseline"/>
      </w:pPr>
      <w:r>
        <w:t>A</w:t>
      </w:r>
      <w:r w:rsidRPr="00114B98">
        <w:t xml:space="preserve"> sponsor stakeholder stated that the PBS eligibility requirement for patients to have failed to respond to six or more weeks of appropriate vasodilator treatment unless intolerance or a contraindication to such treatment exists is not supported by the ESC</w:t>
      </w:r>
      <w:r>
        <w:t>/</w:t>
      </w:r>
      <w:r w:rsidRPr="00114B98">
        <w:t xml:space="preserve">ERS </w:t>
      </w:r>
      <w:r>
        <w:t>G</w:t>
      </w:r>
      <w:r w:rsidRPr="00114B98">
        <w:t>uideline</w:t>
      </w:r>
      <w:r>
        <w:t>s.</w:t>
      </w:r>
    </w:p>
    <w:p w:rsidR="001960CE" w:rsidRPr="00114B98" w:rsidRDefault="001960CE" w:rsidP="001960CE">
      <w:pPr>
        <w:widowControl w:val="0"/>
        <w:numPr>
          <w:ilvl w:val="0"/>
          <w:numId w:val="51"/>
        </w:numPr>
        <w:adjustRightInd w:val="0"/>
        <w:jc w:val="left"/>
        <w:textAlignment w:val="baseline"/>
      </w:pPr>
      <w:r w:rsidRPr="00114B98">
        <w:t>A prescriber suggested a review of the current prescribing criteria is required, and makes specific r</w:t>
      </w:r>
      <w:r>
        <w:t xml:space="preserve">eference to the removal of the </w:t>
      </w:r>
      <w:r w:rsidRPr="00114B98">
        <w:t>PBS mandated trial of a calcium channel blocker across all WHO Group 1 patients</w:t>
      </w:r>
      <w:r>
        <w:t>.</w:t>
      </w:r>
      <w:r w:rsidRPr="00114B98">
        <w:t xml:space="preserve"> </w:t>
      </w:r>
    </w:p>
    <w:p w:rsidR="001960CE" w:rsidRPr="00C2124B" w:rsidRDefault="001960CE" w:rsidP="001960CE">
      <w:pPr>
        <w:pStyle w:val="Heading4"/>
      </w:pPr>
      <w:r>
        <w:br w:type="page"/>
      </w:r>
      <w:r w:rsidRPr="005B6C8E">
        <w:lastRenderedPageBreak/>
        <w:t xml:space="preserve">Option </w:t>
      </w:r>
      <w:r>
        <w:t>5</w:t>
      </w:r>
      <w:r w:rsidRPr="005B6C8E">
        <w:t xml:space="preserve">: </w:t>
      </w:r>
      <w:r>
        <w:t>E</w:t>
      </w:r>
      <w:r w:rsidRPr="005B6C8E">
        <w:t xml:space="preserve">xtend PBS restrictions to include the remaining WHO </w:t>
      </w:r>
      <w:r>
        <w:t xml:space="preserve">Group I </w:t>
      </w:r>
      <w:r w:rsidRPr="005B6C8E">
        <w:t xml:space="preserve">PAH subtypes associated with </w:t>
      </w:r>
      <w:r w:rsidRPr="000408BA">
        <w:t xml:space="preserve">HIV infection; portal hypertension; and schistosomiasis </w:t>
      </w:r>
      <w:r>
        <w:t xml:space="preserve">in WHO FC III/IV </w:t>
      </w:r>
    </w:p>
    <w:p w:rsidR="001960CE" w:rsidRPr="005B6C8E" w:rsidRDefault="001960CE" w:rsidP="001960CE">
      <w:pPr>
        <w:spacing w:before="120"/>
        <w:ind w:left="360" w:hanging="360"/>
        <w:jc w:val="left"/>
        <w:rPr>
          <w:szCs w:val="24"/>
          <w:u w:val="single"/>
        </w:rPr>
      </w:pPr>
      <w:r w:rsidRPr="005B6C8E">
        <w:rPr>
          <w:szCs w:val="24"/>
          <w:u w:val="single"/>
        </w:rPr>
        <w:t>Current TGA/PBS restriction</w:t>
      </w:r>
    </w:p>
    <w:p w:rsidR="001960CE" w:rsidRPr="005B6C8E" w:rsidRDefault="001960CE" w:rsidP="001960CE">
      <w:pPr>
        <w:pStyle w:val="ListParagraph"/>
        <w:widowControl w:val="0"/>
        <w:numPr>
          <w:ilvl w:val="0"/>
          <w:numId w:val="36"/>
        </w:numPr>
        <w:adjustRightInd w:val="0"/>
        <w:spacing w:before="200"/>
        <w:ind w:left="357" w:hanging="357"/>
        <w:contextualSpacing w:val="0"/>
        <w:jc w:val="left"/>
        <w:textAlignment w:val="baseline"/>
        <w:rPr>
          <w:szCs w:val="24"/>
        </w:rPr>
      </w:pPr>
      <w:r w:rsidRPr="005B6C8E">
        <w:rPr>
          <w:szCs w:val="24"/>
        </w:rPr>
        <w:t xml:space="preserve">The current PBS restrictions </w:t>
      </w:r>
      <w:r>
        <w:rPr>
          <w:szCs w:val="24"/>
        </w:rPr>
        <w:t>restrict subsidy of</w:t>
      </w:r>
      <w:r w:rsidRPr="005B6C8E">
        <w:rPr>
          <w:szCs w:val="24"/>
        </w:rPr>
        <w:t xml:space="preserve"> PAH medicines by PAH disease subtype</w:t>
      </w:r>
      <w:r>
        <w:rPr>
          <w:szCs w:val="24"/>
        </w:rPr>
        <w:t>,</w:t>
      </w:r>
      <w:r w:rsidRPr="005B6C8E">
        <w:rPr>
          <w:szCs w:val="24"/>
        </w:rPr>
        <w:t xml:space="preserve"> </w:t>
      </w:r>
      <w:r>
        <w:rPr>
          <w:szCs w:val="24"/>
        </w:rPr>
        <w:t>WHO </w:t>
      </w:r>
      <w:r w:rsidRPr="005B6C8E">
        <w:rPr>
          <w:szCs w:val="24"/>
        </w:rPr>
        <w:t>FC and line of treatment.</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There is no PBS subsidised treatment with PAH medicines for the following three PAH subtypes: PAH associated with </w:t>
      </w:r>
      <w:bookmarkStart w:id="143" w:name="_Hlk511072062"/>
      <w:r w:rsidRPr="005B6C8E">
        <w:rPr>
          <w:szCs w:val="24"/>
        </w:rPr>
        <w:t xml:space="preserve">HIV infection; portal hypertension; and </w:t>
      </w:r>
      <w:r>
        <w:rPr>
          <w:szCs w:val="24"/>
        </w:rPr>
        <w:t>schistosomiasis</w:t>
      </w:r>
      <w:r w:rsidRPr="005B6C8E">
        <w:rPr>
          <w:szCs w:val="24"/>
        </w:rPr>
        <w:t>.</w:t>
      </w:r>
    </w:p>
    <w:bookmarkEnd w:id="143"/>
    <w:p w:rsidR="001960CE" w:rsidRDefault="001960CE" w:rsidP="001960CE">
      <w:pPr>
        <w:pStyle w:val="ListParagraph"/>
        <w:widowControl w:val="0"/>
        <w:numPr>
          <w:ilvl w:val="0"/>
          <w:numId w:val="36"/>
        </w:numPr>
        <w:adjustRightInd w:val="0"/>
        <w:contextualSpacing w:val="0"/>
        <w:jc w:val="left"/>
        <w:textAlignment w:val="baseline"/>
        <w:rPr>
          <w:szCs w:val="24"/>
        </w:rPr>
      </w:pPr>
      <w:r w:rsidRPr="00A0733C">
        <w:rPr>
          <w:szCs w:val="24"/>
        </w:rPr>
        <w:t>There are examples of other small PAH sub-groups for whom PAH medicines are not TGA indicated but PBS subsidised</w:t>
      </w:r>
      <w:r>
        <w:rPr>
          <w:szCs w:val="24"/>
        </w:rPr>
        <w:t>,</w:t>
      </w:r>
      <w:r w:rsidRPr="00A0733C">
        <w:rPr>
          <w:szCs w:val="24"/>
        </w:rPr>
        <w:t xml:space="preserve"> e.g. bosentan, macitentan, ambrisentan, epoprostenol and riocig</w:t>
      </w:r>
      <w:r>
        <w:rPr>
          <w:szCs w:val="24"/>
        </w:rPr>
        <w:t>uat for anorexigen-induced PAH.</w:t>
      </w:r>
    </w:p>
    <w:p w:rsidR="001960CE" w:rsidRPr="00BF244C" w:rsidRDefault="001960CE" w:rsidP="001960CE">
      <w:pPr>
        <w:pStyle w:val="Caption"/>
        <w:rPr>
          <w:rFonts w:cs="Arial"/>
          <w:szCs w:val="24"/>
        </w:rPr>
      </w:pPr>
      <w:bookmarkStart w:id="144" w:name="_Toc511029428"/>
      <w:r w:rsidRPr="00BF244C">
        <w:rPr>
          <w:rFonts w:cs="Arial"/>
          <w:szCs w:val="24"/>
        </w:rPr>
        <w:t>Alignment of ARTG indications with PBS listings (not accounting for WHO FC)</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54"/>
        <w:gridCol w:w="1154"/>
        <w:gridCol w:w="1281"/>
        <w:gridCol w:w="1281"/>
        <w:gridCol w:w="1281"/>
        <w:gridCol w:w="1438"/>
      </w:tblGrid>
      <w:tr w:rsidR="001960CE" w:rsidRPr="005935A9" w:rsidTr="00C743FC">
        <w:trPr>
          <w:tblHeader/>
        </w:trPr>
        <w:tc>
          <w:tcPr>
            <w:tcW w:w="894" w:type="pct"/>
            <w:shd w:val="clear" w:color="auto" w:fill="BFBFBF"/>
            <w:vAlign w:val="center"/>
          </w:tcPr>
          <w:p w:rsidR="001960CE" w:rsidRPr="00DE148E" w:rsidRDefault="001960CE" w:rsidP="00C743FC">
            <w:pPr>
              <w:keepNext/>
              <w:spacing w:beforeLines="40" w:before="96" w:afterLines="40" w:after="96" w:line="240" w:lineRule="auto"/>
              <w:jc w:val="left"/>
              <w:rPr>
                <w:rFonts w:ascii="Arial" w:hAnsi="Arial" w:cs="Arial"/>
                <w:b/>
                <w:caps/>
                <w:color w:val="000000"/>
                <w:spacing w:val="5"/>
                <w:kern w:val="28"/>
                <w:sz w:val="20"/>
                <w:lang w:val="en-US"/>
              </w:rPr>
            </w:pPr>
            <w:r w:rsidRPr="00DE148E">
              <w:rPr>
                <w:rFonts w:ascii="Arial" w:hAnsi="Arial" w:cs="Arial"/>
                <w:b/>
                <w:sz w:val="20"/>
              </w:rPr>
              <w:t>Treatment</w:t>
            </w:r>
          </w:p>
        </w:tc>
        <w:tc>
          <w:tcPr>
            <w:tcW w:w="624"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caps/>
                <w:color w:val="000000"/>
                <w:spacing w:val="5"/>
                <w:kern w:val="28"/>
                <w:sz w:val="20"/>
                <w:lang w:val="en-US"/>
              </w:rPr>
            </w:pPr>
            <w:r w:rsidRPr="00DE148E">
              <w:rPr>
                <w:rFonts w:ascii="Arial" w:hAnsi="Arial" w:cs="Arial"/>
                <w:b/>
                <w:sz w:val="20"/>
              </w:rPr>
              <w:t>IPAH</w:t>
            </w:r>
          </w:p>
        </w:tc>
        <w:tc>
          <w:tcPr>
            <w:tcW w:w="624"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t>HPAH</w:t>
            </w:r>
          </w:p>
        </w:tc>
        <w:tc>
          <w:tcPr>
            <w:tcW w:w="693"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t>PAH-CTD</w:t>
            </w:r>
          </w:p>
        </w:tc>
        <w:tc>
          <w:tcPr>
            <w:tcW w:w="693"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t>PAH-CHD</w:t>
            </w:r>
          </w:p>
        </w:tc>
        <w:tc>
          <w:tcPr>
            <w:tcW w:w="693"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Pr>
                <w:rFonts w:ascii="Arial" w:hAnsi="Arial" w:cs="Arial"/>
                <w:b/>
                <w:sz w:val="20"/>
              </w:rPr>
              <w:t>Drug induced</w:t>
            </w:r>
            <w:r w:rsidRPr="00DE148E">
              <w:rPr>
                <w:rFonts w:ascii="Arial" w:hAnsi="Arial" w:cs="Arial"/>
                <w:b/>
                <w:sz w:val="20"/>
              </w:rPr>
              <w:t xml:space="preserve"> PAH</w:t>
            </w:r>
          </w:p>
        </w:tc>
        <w:tc>
          <w:tcPr>
            <w:tcW w:w="778" w:type="pct"/>
            <w:shd w:val="clear" w:color="auto" w:fill="BFBFBF"/>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Pr>
                <w:rFonts w:ascii="Arial" w:hAnsi="Arial" w:cs="Arial"/>
                <w:b/>
                <w:sz w:val="20"/>
              </w:rPr>
              <w:t>Anorexigen induced</w:t>
            </w:r>
            <w:r w:rsidRPr="00DE148E">
              <w:rPr>
                <w:rFonts w:ascii="Arial" w:hAnsi="Arial" w:cs="Arial"/>
                <w:b/>
                <w:sz w:val="20"/>
              </w:rPr>
              <w:t xml:space="preserve"> PAH</w:t>
            </w:r>
          </w:p>
        </w:tc>
      </w:tr>
      <w:tr w:rsidR="001960CE" w:rsidRPr="005935A9" w:rsidTr="00C743FC">
        <w:tc>
          <w:tcPr>
            <w:tcW w:w="894" w:type="pct"/>
            <w:tcBorders>
              <w:bottom w:val="single" w:sz="4" w:space="0" w:color="auto"/>
            </w:tcBorders>
            <w:shd w:val="clear" w:color="auto" w:fill="auto"/>
            <w:vAlign w:val="center"/>
          </w:tcPr>
          <w:p w:rsidR="001960CE" w:rsidRPr="00DE148E" w:rsidRDefault="001960CE" w:rsidP="00C743FC">
            <w:pPr>
              <w:keepNext/>
              <w:spacing w:beforeLines="40" w:before="96" w:afterLines="40" w:after="96" w:line="240" w:lineRule="auto"/>
              <w:jc w:val="left"/>
              <w:rPr>
                <w:rFonts w:ascii="Arial" w:hAnsi="Arial" w:cs="Arial"/>
                <w:sz w:val="20"/>
              </w:rPr>
            </w:pPr>
            <w:r w:rsidRPr="00DE148E">
              <w:rPr>
                <w:rFonts w:ascii="Arial" w:hAnsi="Arial" w:cs="Arial"/>
                <w:sz w:val="20"/>
              </w:rPr>
              <w:t>Macitentan</w:t>
            </w:r>
          </w:p>
        </w:tc>
        <w:tc>
          <w:tcPr>
            <w:tcW w:w="624" w:type="pct"/>
            <w:tcBorders>
              <w:bottom w:val="single" w:sz="4" w:space="0" w:color="auto"/>
            </w:tcBorders>
            <w:shd w:val="clear" w:color="auto" w:fill="auto"/>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tcBorders>
              <w:bottom w:val="single" w:sz="4" w:space="0" w:color="auto"/>
            </w:tcBorders>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tcBorders>
              <w:bottom w:val="single" w:sz="4" w:space="0" w:color="auto"/>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rsidTr="00C743FC">
        <w:tc>
          <w:tcPr>
            <w:tcW w:w="894" w:type="pct"/>
            <w:tcBorders>
              <w:bottom w:val="nil"/>
            </w:tcBorders>
            <w:shd w:val="clear" w:color="auto" w:fill="auto"/>
            <w:vAlign w:val="center"/>
          </w:tcPr>
          <w:p w:rsidR="001960CE" w:rsidRPr="00DE148E" w:rsidRDefault="001960CE" w:rsidP="00C743FC">
            <w:pPr>
              <w:keepNext/>
              <w:spacing w:beforeLines="40" w:before="96" w:afterLines="40" w:after="96" w:line="240" w:lineRule="auto"/>
              <w:jc w:val="left"/>
              <w:rPr>
                <w:rFonts w:ascii="Arial" w:hAnsi="Arial" w:cs="Arial"/>
                <w:sz w:val="20"/>
              </w:rPr>
            </w:pPr>
            <w:r w:rsidRPr="00DE148E">
              <w:rPr>
                <w:rFonts w:ascii="Arial" w:hAnsi="Arial" w:cs="Arial"/>
                <w:sz w:val="20"/>
              </w:rPr>
              <w:t>Ambrisentan</w:t>
            </w:r>
          </w:p>
        </w:tc>
        <w:tc>
          <w:tcPr>
            <w:tcW w:w="624" w:type="pct"/>
            <w:tcBorders>
              <w:bottom w:val="nil"/>
            </w:tcBorders>
            <w:shd w:val="clear" w:color="auto" w:fill="auto"/>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tcBorders>
              <w:bottom w:val="nil"/>
            </w:tcBorders>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sz w:val="20"/>
              </w:rPr>
              <w:sym w:font="Wingdings 2" w:char="F0D2"/>
            </w:r>
            <w:r w:rsidRPr="00DE148E">
              <w:rPr>
                <w:rFonts w:ascii="Arial" w:hAnsi="Arial" w:cs="Arial"/>
                <w:sz w:val="20"/>
              </w:rPr>
              <w:sym w:font="Wingdings 2" w:char="F0CB"/>
            </w:r>
          </w:p>
        </w:tc>
        <w:tc>
          <w:tcPr>
            <w:tcW w:w="693" w:type="pct"/>
            <w:tcBorders>
              <w:bottom w:val="nil"/>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nil"/>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693" w:type="pct"/>
            <w:tcBorders>
              <w:bottom w:val="nil"/>
            </w:tcBorders>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tcBorders>
              <w:bottom w:val="nil"/>
            </w:tcBorders>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rsidTr="00C743FC">
        <w:tc>
          <w:tcPr>
            <w:tcW w:w="894" w:type="pct"/>
            <w:shd w:val="clear" w:color="auto" w:fill="auto"/>
            <w:vAlign w:val="center"/>
          </w:tcPr>
          <w:p w:rsidR="001960CE" w:rsidRPr="00DE148E" w:rsidRDefault="001960CE" w:rsidP="00C743FC">
            <w:pPr>
              <w:keepNext/>
              <w:spacing w:beforeLines="40" w:before="96" w:afterLines="40" w:after="96" w:line="240" w:lineRule="auto"/>
              <w:jc w:val="left"/>
              <w:rPr>
                <w:rFonts w:ascii="Arial" w:hAnsi="Arial" w:cs="Arial"/>
                <w:sz w:val="20"/>
              </w:rPr>
            </w:pPr>
            <w:r w:rsidRPr="00DE148E">
              <w:rPr>
                <w:rFonts w:ascii="Arial" w:hAnsi="Arial" w:cs="Arial"/>
                <w:sz w:val="20"/>
              </w:rPr>
              <w:t>Bosentan</w:t>
            </w:r>
          </w:p>
        </w:tc>
        <w:tc>
          <w:tcPr>
            <w:tcW w:w="624" w:type="pct"/>
            <w:shd w:val="clear" w:color="auto" w:fill="auto"/>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rsidTr="00C743FC">
        <w:tc>
          <w:tcPr>
            <w:tcW w:w="894" w:type="pct"/>
            <w:vAlign w:val="center"/>
          </w:tcPr>
          <w:p w:rsidR="001960CE" w:rsidRPr="00DE148E" w:rsidRDefault="001960CE" w:rsidP="00C743FC">
            <w:pPr>
              <w:keepNext/>
              <w:spacing w:beforeLines="40" w:before="96" w:afterLines="40" w:after="96" w:line="240" w:lineRule="auto"/>
              <w:jc w:val="left"/>
              <w:rPr>
                <w:rFonts w:ascii="Arial" w:hAnsi="Arial" w:cs="Arial"/>
                <w:sz w:val="20"/>
              </w:rPr>
            </w:pPr>
            <w:proofErr w:type="spellStart"/>
            <w:r w:rsidRPr="00DE148E">
              <w:rPr>
                <w:rFonts w:ascii="Arial" w:hAnsi="Arial" w:cs="Arial"/>
                <w:sz w:val="20"/>
              </w:rPr>
              <w:t>Sildenafil</w:t>
            </w:r>
            <w:r>
              <w:rPr>
                <w:rFonts w:ascii="Arial" w:hAnsi="Arial" w:cs="Arial"/>
                <w:sz w:val="20"/>
                <w:vertAlign w:val="superscript"/>
              </w:rPr>
              <w:t>a</w:t>
            </w:r>
            <w:proofErr w:type="spellEnd"/>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b/>
                <w:caps/>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693" w:type="pct"/>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778"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r>
      <w:tr w:rsidR="001960CE" w:rsidRPr="005935A9" w:rsidTr="00C743FC">
        <w:tc>
          <w:tcPr>
            <w:tcW w:w="894" w:type="pct"/>
            <w:vAlign w:val="center"/>
          </w:tcPr>
          <w:p w:rsidR="001960CE" w:rsidRPr="00DE148E" w:rsidRDefault="001960CE" w:rsidP="00C743FC">
            <w:pPr>
              <w:keepNext/>
              <w:spacing w:beforeLines="40" w:before="96" w:afterLines="40" w:after="96" w:line="240" w:lineRule="auto"/>
              <w:jc w:val="left"/>
              <w:rPr>
                <w:rFonts w:ascii="Arial" w:hAnsi="Arial" w:cs="Arial"/>
                <w:sz w:val="20"/>
              </w:rPr>
            </w:pPr>
            <w:proofErr w:type="spellStart"/>
            <w:r w:rsidRPr="00DE148E">
              <w:rPr>
                <w:rFonts w:ascii="Arial" w:hAnsi="Arial" w:cs="Arial"/>
                <w:sz w:val="20"/>
              </w:rPr>
              <w:t>Tadalafil</w:t>
            </w:r>
            <w:r>
              <w:rPr>
                <w:rFonts w:ascii="Arial" w:hAnsi="Arial" w:cs="Arial"/>
                <w:sz w:val="20"/>
                <w:vertAlign w:val="superscript"/>
              </w:rPr>
              <w:t>a</w:t>
            </w:r>
            <w:proofErr w:type="spellEnd"/>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b/>
                <w:caps/>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693" w:type="pct"/>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778" w:type="pct"/>
            <w:vAlign w:val="center"/>
          </w:tcPr>
          <w:p w:rsidR="001960CE" w:rsidRPr="00C2124B" w:rsidRDefault="001960CE" w:rsidP="00C743FC">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r>
      <w:tr w:rsidR="001960CE" w:rsidRPr="005935A9" w:rsidTr="00C743FC">
        <w:tc>
          <w:tcPr>
            <w:tcW w:w="894" w:type="pct"/>
            <w:vAlign w:val="center"/>
          </w:tcPr>
          <w:p w:rsidR="001960CE" w:rsidRPr="00DE148E" w:rsidRDefault="001960CE" w:rsidP="00C743FC">
            <w:pPr>
              <w:keepNext/>
              <w:spacing w:beforeLines="40" w:before="96" w:afterLines="40" w:after="96" w:line="240" w:lineRule="auto"/>
              <w:jc w:val="left"/>
              <w:rPr>
                <w:rFonts w:ascii="Arial" w:hAnsi="Arial" w:cs="Arial"/>
                <w:sz w:val="20"/>
              </w:rPr>
            </w:pPr>
            <w:r w:rsidRPr="00DE148E">
              <w:rPr>
                <w:rFonts w:ascii="Arial" w:hAnsi="Arial" w:cs="Arial"/>
                <w:sz w:val="20"/>
              </w:rPr>
              <w:t xml:space="preserve">Riociguat </w:t>
            </w:r>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b/>
                <w:caps/>
                <w:color w:val="000000"/>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rsidTr="00C743FC">
        <w:tc>
          <w:tcPr>
            <w:tcW w:w="894" w:type="pct"/>
            <w:vAlign w:val="center"/>
          </w:tcPr>
          <w:p w:rsidR="001960CE" w:rsidRPr="00DE148E" w:rsidRDefault="001960CE" w:rsidP="00C743FC">
            <w:pPr>
              <w:keepNext/>
              <w:spacing w:beforeLines="40" w:before="96" w:afterLines="40" w:after="96" w:line="240" w:lineRule="auto"/>
              <w:jc w:val="left"/>
              <w:rPr>
                <w:rFonts w:ascii="Arial" w:hAnsi="Arial" w:cs="Arial"/>
                <w:sz w:val="20"/>
              </w:rPr>
            </w:pPr>
            <w:r w:rsidRPr="00DE148E">
              <w:rPr>
                <w:rFonts w:ascii="Arial" w:hAnsi="Arial" w:cs="Arial"/>
                <w:sz w:val="20"/>
              </w:rPr>
              <w:t>Iloprost</w:t>
            </w:r>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rsidR="001960CE" w:rsidRPr="00DE148E" w:rsidRDefault="001960CE" w:rsidP="00C743FC">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693" w:type="pct"/>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778" w:type="pct"/>
            <w:vAlign w:val="center"/>
          </w:tcPr>
          <w:p w:rsidR="001960CE" w:rsidRPr="00DE148E" w:rsidRDefault="001960CE" w:rsidP="00C743FC">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r>
      <w:tr w:rsidR="001960CE" w:rsidRPr="005935A9" w:rsidTr="00C743FC">
        <w:tc>
          <w:tcPr>
            <w:tcW w:w="894" w:type="pct"/>
            <w:vAlign w:val="center"/>
          </w:tcPr>
          <w:p w:rsidR="001960CE" w:rsidRPr="00DE148E" w:rsidRDefault="001960CE" w:rsidP="00C743FC">
            <w:pPr>
              <w:keepNext/>
              <w:spacing w:beforeLines="40" w:before="96" w:afterLines="40" w:after="96" w:line="240" w:lineRule="auto"/>
              <w:ind w:right="34"/>
              <w:jc w:val="left"/>
              <w:rPr>
                <w:rFonts w:ascii="Arial" w:hAnsi="Arial" w:cs="Arial"/>
                <w:sz w:val="20"/>
              </w:rPr>
            </w:pPr>
            <w:r w:rsidRPr="00DE148E">
              <w:rPr>
                <w:rFonts w:ascii="Arial" w:hAnsi="Arial" w:cs="Arial"/>
                <w:sz w:val="20"/>
              </w:rPr>
              <w:t>Epoprostenol</w:t>
            </w:r>
          </w:p>
        </w:tc>
        <w:tc>
          <w:tcPr>
            <w:tcW w:w="624" w:type="pct"/>
            <w:vAlign w:val="center"/>
          </w:tcPr>
          <w:p w:rsidR="001960CE" w:rsidRPr="00DE148E" w:rsidRDefault="001960CE" w:rsidP="00C743FC">
            <w:pPr>
              <w:pStyle w:val="TableText0"/>
              <w:keepNext/>
              <w:spacing w:beforeLines="40" w:before="96" w:afterLines="40" w:after="96"/>
              <w:jc w:val="center"/>
              <w:rPr>
                <w:rFonts w:ascii="Arial" w:hAnsi="Arial"/>
                <w:b/>
                <w:caps/>
                <w:color w:val="000000"/>
                <w:spacing w:val="5"/>
                <w:kern w:val="28"/>
                <w:szCs w:val="20"/>
                <w:lang w:val="en-US"/>
              </w:rPr>
            </w:pPr>
            <w:r w:rsidRPr="00DE148E">
              <w:rPr>
                <w:rFonts w:ascii="Arial" w:hAnsi="Arial"/>
                <w:b/>
                <w:szCs w:val="20"/>
              </w:rPr>
              <w:sym w:font="Wingdings 2" w:char="F052"/>
            </w:r>
            <w:r w:rsidRPr="00DE148E">
              <w:rPr>
                <w:rFonts w:ascii="Arial" w:hAnsi="Arial"/>
                <w:szCs w:val="20"/>
              </w:rPr>
              <w:sym w:font="Wingdings 2" w:char="F0CB"/>
            </w:r>
          </w:p>
        </w:tc>
        <w:tc>
          <w:tcPr>
            <w:tcW w:w="624" w:type="pct"/>
            <w:vAlign w:val="center"/>
          </w:tcPr>
          <w:p w:rsidR="001960CE" w:rsidRPr="00DE148E" w:rsidRDefault="001960CE" w:rsidP="00C743FC">
            <w:pPr>
              <w:pStyle w:val="TableText0"/>
              <w:keepNext/>
              <w:spacing w:beforeLines="40" w:before="96" w:afterLines="40" w:after="96"/>
              <w:jc w:val="center"/>
              <w:rPr>
                <w:rFonts w:ascii="Arial" w:hAnsi="Arial"/>
                <w:b/>
                <w:szCs w:val="20"/>
              </w:rPr>
            </w:pPr>
            <w:r w:rsidRPr="00DE148E">
              <w:rPr>
                <w:rFonts w:ascii="Arial" w:hAnsi="Arial"/>
                <w:b/>
                <w:szCs w:val="20"/>
              </w:rPr>
              <w:sym w:font="Wingdings 2" w:char="F052"/>
            </w:r>
            <w:r w:rsidRPr="00DE148E">
              <w:rPr>
                <w:rFonts w:ascii="Arial" w:hAnsi="Arial"/>
                <w:szCs w:val="20"/>
              </w:rPr>
              <w:sym w:font="Wingdings 2" w:char="F0CB"/>
            </w:r>
          </w:p>
        </w:tc>
        <w:tc>
          <w:tcPr>
            <w:tcW w:w="693" w:type="pct"/>
            <w:vAlign w:val="center"/>
          </w:tcPr>
          <w:p w:rsidR="001960CE" w:rsidRPr="00DE148E" w:rsidRDefault="001960CE" w:rsidP="00C743FC">
            <w:pPr>
              <w:pStyle w:val="TableText0"/>
              <w:keepNext/>
              <w:spacing w:beforeLines="40" w:before="96" w:afterLines="40" w:after="96"/>
              <w:jc w:val="center"/>
              <w:rPr>
                <w:rFonts w:ascii="Arial" w:hAnsi="Arial"/>
                <w:b/>
                <w:szCs w:val="20"/>
              </w:rPr>
            </w:pPr>
            <w:r w:rsidRPr="00DE148E">
              <w:rPr>
                <w:rFonts w:ascii="Arial" w:hAnsi="Arial"/>
                <w:b/>
                <w:szCs w:val="20"/>
              </w:rPr>
              <w:sym w:font="Wingdings 2" w:char="F052"/>
            </w:r>
            <w:r w:rsidRPr="00DE148E">
              <w:rPr>
                <w:rFonts w:ascii="Arial" w:hAnsi="Arial"/>
                <w:szCs w:val="20"/>
              </w:rPr>
              <w:sym w:font="Wingdings 2" w:char="F0CB"/>
            </w:r>
          </w:p>
        </w:tc>
        <w:tc>
          <w:tcPr>
            <w:tcW w:w="693" w:type="pct"/>
            <w:vAlign w:val="center"/>
          </w:tcPr>
          <w:p w:rsidR="001960CE" w:rsidRPr="00DE148E" w:rsidRDefault="001960CE" w:rsidP="00C743FC">
            <w:pPr>
              <w:pStyle w:val="TableText0"/>
              <w:keepNext/>
              <w:spacing w:beforeLines="40" w:before="96" w:afterLines="40" w:after="96"/>
              <w:jc w:val="center"/>
              <w:rPr>
                <w:rFonts w:ascii="Arial" w:hAnsi="Arial"/>
                <w:szCs w:val="20"/>
              </w:rPr>
            </w:pPr>
            <w:r w:rsidRPr="00DE148E">
              <w:rPr>
                <w:rFonts w:ascii="Arial" w:hAnsi="Arial"/>
                <w:szCs w:val="20"/>
              </w:rPr>
              <w:sym w:font="Wingdings 2" w:char="F0D2"/>
            </w:r>
            <w:r w:rsidRPr="00DE148E">
              <w:rPr>
                <w:rFonts w:ascii="Arial" w:hAnsi="Arial"/>
                <w:szCs w:val="20"/>
              </w:rPr>
              <w:sym w:font="Wingdings 2" w:char="F09B"/>
            </w:r>
          </w:p>
        </w:tc>
        <w:tc>
          <w:tcPr>
            <w:tcW w:w="693" w:type="pct"/>
          </w:tcPr>
          <w:p w:rsidR="001960CE" w:rsidRPr="00DE148E" w:rsidRDefault="001960CE" w:rsidP="00C743FC">
            <w:pPr>
              <w:pStyle w:val="TableText0"/>
              <w:keepNext/>
              <w:spacing w:beforeLines="40" w:before="96" w:afterLines="40" w:after="96"/>
              <w:jc w:val="center"/>
              <w:rPr>
                <w:rFonts w:ascii="Arial" w:hAnsi="Arial"/>
                <w:szCs w:val="20"/>
              </w:rPr>
            </w:pPr>
            <w:r w:rsidRPr="00DE148E">
              <w:rPr>
                <w:rFonts w:ascii="Arial" w:hAnsi="Arial"/>
              </w:rPr>
              <w:sym w:font="Wingdings 2" w:char="F0D2"/>
            </w:r>
            <w:r w:rsidRPr="00DE148E">
              <w:rPr>
                <w:rFonts w:ascii="Arial" w:hAnsi="Arial"/>
              </w:rPr>
              <w:sym w:font="Wingdings 2" w:char="F09B"/>
            </w:r>
          </w:p>
        </w:tc>
        <w:tc>
          <w:tcPr>
            <w:tcW w:w="778" w:type="pct"/>
            <w:vAlign w:val="center"/>
          </w:tcPr>
          <w:p w:rsidR="001960CE" w:rsidRPr="00DE148E" w:rsidRDefault="001960CE" w:rsidP="00C743FC">
            <w:pPr>
              <w:pStyle w:val="TableText0"/>
              <w:keepNext/>
              <w:spacing w:beforeLines="40" w:before="96" w:afterLines="40" w:after="96"/>
              <w:jc w:val="center"/>
              <w:rPr>
                <w:rFonts w:ascii="Arial" w:hAnsi="Arial"/>
                <w:szCs w:val="20"/>
              </w:rPr>
            </w:pPr>
            <w:r w:rsidRPr="00DE148E">
              <w:rPr>
                <w:rFonts w:ascii="Arial" w:hAnsi="Arial"/>
                <w:szCs w:val="20"/>
              </w:rPr>
              <w:sym w:font="Wingdings 2" w:char="F0D2"/>
            </w:r>
            <w:r w:rsidRPr="00DE148E">
              <w:rPr>
                <w:rFonts w:ascii="Arial" w:hAnsi="Arial"/>
                <w:szCs w:val="20"/>
              </w:rPr>
              <w:sym w:font="Wingdings 2" w:char="F0CB"/>
            </w:r>
          </w:p>
        </w:tc>
      </w:tr>
    </w:tbl>
    <w:p w:rsidR="001960CE" w:rsidRPr="00DE148E" w:rsidRDefault="001960CE" w:rsidP="001960CE">
      <w:pPr>
        <w:tabs>
          <w:tab w:val="left" w:pos="2600"/>
        </w:tabs>
        <w:spacing w:after="60" w:line="240" w:lineRule="auto"/>
        <w:jc w:val="left"/>
        <w:rPr>
          <w:rFonts w:ascii="Arial" w:hAnsi="Arial" w:cs="Arial"/>
          <w:sz w:val="16"/>
          <w:szCs w:val="16"/>
        </w:rPr>
      </w:pPr>
      <w:r w:rsidRPr="00DE148E">
        <w:rPr>
          <w:rFonts w:ascii="Arial" w:hAnsi="Arial" w:cs="Arial"/>
          <w:b/>
          <w:sz w:val="16"/>
          <w:szCs w:val="16"/>
        </w:rPr>
        <w:sym w:font="Wingdings 2" w:char="F052"/>
      </w:r>
      <w:r w:rsidRPr="00DE148E">
        <w:rPr>
          <w:rFonts w:ascii="Arial" w:hAnsi="Arial" w:cs="Arial"/>
          <w:sz w:val="16"/>
          <w:szCs w:val="16"/>
        </w:rPr>
        <w:t xml:space="preserve"> = ARTG registered indication; </w:t>
      </w:r>
      <w:r w:rsidRPr="00DE148E">
        <w:rPr>
          <w:rFonts w:ascii="Arial" w:hAnsi="Arial" w:cs="Arial"/>
          <w:sz w:val="16"/>
          <w:szCs w:val="16"/>
        </w:rPr>
        <w:sym w:font="Wingdings 2" w:char="F0D2"/>
      </w:r>
      <w:r w:rsidRPr="00DE148E">
        <w:rPr>
          <w:rFonts w:ascii="Arial" w:hAnsi="Arial" w:cs="Arial"/>
          <w:sz w:val="16"/>
          <w:szCs w:val="16"/>
        </w:rPr>
        <w:t xml:space="preserve"> = not an ARTG registered indication; </w:t>
      </w:r>
      <w:r w:rsidRPr="00DE148E">
        <w:rPr>
          <w:rFonts w:ascii="Arial" w:hAnsi="Arial" w:cs="Arial"/>
          <w:sz w:val="16"/>
          <w:szCs w:val="16"/>
        </w:rPr>
        <w:sym w:font="Wingdings 2" w:char="F0CB"/>
      </w:r>
      <w:r w:rsidRPr="00DE148E">
        <w:rPr>
          <w:rFonts w:ascii="Arial" w:hAnsi="Arial" w:cs="Arial"/>
          <w:sz w:val="16"/>
          <w:szCs w:val="16"/>
        </w:rPr>
        <w:t xml:space="preserve"> = PBS indication; </w:t>
      </w:r>
      <w:r w:rsidRPr="00DE148E">
        <w:rPr>
          <w:rFonts w:ascii="Arial" w:hAnsi="Arial" w:cs="Arial"/>
          <w:sz w:val="16"/>
          <w:szCs w:val="16"/>
        </w:rPr>
        <w:sym w:font="Wingdings 2" w:char="F09B"/>
      </w:r>
      <w:r w:rsidRPr="00DE148E">
        <w:rPr>
          <w:rFonts w:ascii="Arial" w:hAnsi="Arial" w:cs="Arial"/>
          <w:sz w:val="16"/>
          <w:szCs w:val="16"/>
        </w:rPr>
        <w:t xml:space="preserve"> = not PBS listed for this indication</w:t>
      </w:r>
    </w:p>
    <w:p w:rsidR="001960CE" w:rsidRPr="000408BA" w:rsidRDefault="001960CE" w:rsidP="001960CE">
      <w:pPr>
        <w:spacing w:after="240" w:line="240" w:lineRule="auto"/>
        <w:jc w:val="left"/>
        <w:rPr>
          <w:rFonts w:ascii="Arial" w:hAnsi="Arial" w:cs="Arial"/>
          <w:sz w:val="16"/>
          <w:szCs w:val="16"/>
        </w:rPr>
      </w:pPr>
      <w:proofErr w:type="gramStart"/>
      <w:r>
        <w:rPr>
          <w:rFonts w:ascii="Arial" w:hAnsi="Arial" w:cs="Arial"/>
          <w:sz w:val="16"/>
          <w:szCs w:val="16"/>
        </w:rPr>
        <w:t>a</w:t>
      </w:r>
      <w:proofErr w:type="gramEnd"/>
      <w:r w:rsidRPr="00DE148E">
        <w:rPr>
          <w:rFonts w:ascii="Arial" w:hAnsi="Arial" w:cs="Arial"/>
          <w:sz w:val="16"/>
          <w:szCs w:val="16"/>
        </w:rPr>
        <w:t>: Sildenafil and tadalafil are indicated for PAH in general (in grey) – efficacy shown only in IPAH and PAH-CTD (in black)</w:t>
      </w:r>
    </w:p>
    <w:p w:rsidR="001960CE" w:rsidRPr="004B4FB9" w:rsidRDefault="001960CE" w:rsidP="001960CE">
      <w:pPr>
        <w:pStyle w:val="ListParagraph"/>
        <w:widowControl w:val="0"/>
        <w:numPr>
          <w:ilvl w:val="0"/>
          <w:numId w:val="36"/>
        </w:numPr>
        <w:adjustRightInd w:val="0"/>
        <w:contextualSpacing w:val="0"/>
        <w:jc w:val="left"/>
        <w:textAlignment w:val="baseline"/>
        <w:rPr>
          <w:szCs w:val="24"/>
        </w:rPr>
      </w:pPr>
      <w:r>
        <w:rPr>
          <w:szCs w:val="24"/>
        </w:rPr>
        <w:t xml:space="preserve">The PBS </w:t>
      </w:r>
      <w:r w:rsidRPr="00A0733C">
        <w:rPr>
          <w:szCs w:val="24"/>
        </w:rPr>
        <w:t>subsidises only one PAH medicine for drug-induced PAH (iloprost</w:t>
      </w:r>
      <w:r>
        <w:rPr>
          <w:szCs w:val="24"/>
        </w:rPr>
        <w:t>).</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A small number medicines and combinations (sildenafil, tadalafil, ambrisentan plus tadalafil) are TGA registered for the treatment of all </w:t>
      </w:r>
      <w:r>
        <w:rPr>
          <w:szCs w:val="24"/>
        </w:rPr>
        <w:t>of WHO Group I PAH.</w:t>
      </w:r>
    </w:p>
    <w:p w:rsidR="001960CE" w:rsidRPr="005B6C8E" w:rsidRDefault="001960CE" w:rsidP="001960CE">
      <w:pPr>
        <w:spacing w:before="120"/>
        <w:ind w:left="360" w:hanging="360"/>
        <w:jc w:val="left"/>
        <w:rPr>
          <w:szCs w:val="24"/>
          <w:u w:val="single"/>
        </w:rPr>
      </w:pPr>
      <w:r>
        <w:rPr>
          <w:szCs w:val="24"/>
          <w:u w:val="single"/>
        </w:rPr>
        <w:t>Issues for consideration</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Pr>
          <w:szCs w:val="24"/>
        </w:rPr>
        <w:t xml:space="preserve">The </w:t>
      </w:r>
      <w:r w:rsidRPr="005B6C8E">
        <w:rPr>
          <w:szCs w:val="24"/>
        </w:rPr>
        <w:t xml:space="preserve">ESC/ERS Guidelines recommend using </w:t>
      </w:r>
      <w:r>
        <w:rPr>
          <w:szCs w:val="24"/>
        </w:rPr>
        <w:t xml:space="preserve">all </w:t>
      </w:r>
      <w:r w:rsidRPr="005B6C8E">
        <w:rPr>
          <w:szCs w:val="24"/>
        </w:rPr>
        <w:t xml:space="preserve">PAH medicines for all </w:t>
      </w:r>
      <w:r>
        <w:rPr>
          <w:szCs w:val="24"/>
        </w:rPr>
        <w:t xml:space="preserve">of the </w:t>
      </w:r>
      <w:r w:rsidRPr="005B6C8E">
        <w:rPr>
          <w:szCs w:val="24"/>
        </w:rPr>
        <w:t>WHO Group I PAH subtypes irrespective of the subtype or line of treatment</w:t>
      </w:r>
      <w:r>
        <w:rPr>
          <w:szCs w:val="24"/>
        </w:rPr>
        <w:t>.</w:t>
      </w:r>
    </w:p>
    <w:p w:rsidR="001960CE" w:rsidRPr="005B6C8E" w:rsidRDefault="001960CE" w:rsidP="001960CE">
      <w:pPr>
        <w:spacing w:before="120"/>
        <w:jc w:val="left"/>
        <w:rPr>
          <w:szCs w:val="24"/>
          <w:u w:val="single"/>
        </w:rPr>
      </w:pPr>
      <w:r w:rsidRPr="005B6C8E">
        <w:rPr>
          <w:szCs w:val="24"/>
          <w:u w:val="single"/>
        </w:rPr>
        <w:t>Stakeholder comments</w:t>
      </w:r>
    </w:p>
    <w:p w:rsidR="001960CE" w:rsidRDefault="001960CE" w:rsidP="001960CE">
      <w:pPr>
        <w:widowControl w:val="0"/>
        <w:numPr>
          <w:ilvl w:val="0"/>
          <w:numId w:val="42"/>
        </w:numPr>
        <w:adjustRightInd w:val="0"/>
        <w:ind w:left="567" w:hanging="567"/>
        <w:jc w:val="left"/>
        <w:textAlignment w:val="baseline"/>
      </w:pPr>
      <w:r>
        <w:t>Stakeholders s</w:t>
      </w:r>
      <w:r w:rsidRPr="005B6C8E">
        <w:t>t</w:t>
      </w:r>
      <w:r>
        <w:t>rongly believe</w:t>
      </w:r>
      <w:r w:rsidRPr="005B6C8E">
        <w:t xml:space="preserve"> that PAH medicines should not be reimbursed based on the cause of PAH or the functional class (FC), and suggests PAH medicines should be </w:t>
      </w:r>
      <w:r w:rsidRPr="005B6C8E">
        <w:lastRenderedPageBreak/>
        <w:t>available to all PAH patients regardless of what type, FC or severity of PAH disease they have.</w:t>
      </w:r>
    </w:p>
    <w:p w:rsidR="001960CE" w:rsidRPr="005B6C8E" w:rsidRDefault="001960CE" w:rsidP="001960CE">
      <w:pPr>
        <w:widowControl w:val="0"/>
        <w:numPr>
          <w:ilvl w:val="0"/>
          <w:numId w:val="42"/>
        </w:numPr>
        <w:adjustRightInd w:val="0"/>
        <w:ind w:left="567" w:hanging="567"/>
        <w:jc w:val="left"/>
        <w:textAlignment w:val="baseline"/>
      </w:pPr>
      <w:r w:rsidRPr="00AD0903">
        <w:t xml:space="preserve">A prescriber suggested </w:t>
      </w:r>
      <w:r>
        <w:t xml:space="preserve">that </w:t>
      </w:r>
      <w:r w:rsidRPr="00AD0903">
        <w:t>a review of clinical guidelines should focus on disparity of treatment recommendations published against what is current PBS reimbursable therapy in Australia. Group 1 PAH irrespective of its cause, should be able to access best practice therapy, as despite different aetiologies in Group 1, treatment recommendations are the same in the guidelines and this poses a clinical dilemma in Australia whereby aetiology of Class I PAH determines if a patient can receive treatment or not.</w:t>
      </w:r>
    </w:p>
    <w:p w:rsidR="001960CE" w:rsidRPr="005B6C8E" w:rsidRDefault="001960CE" w:rsidP="001960CE">
      <w:pPr>
        <w:pStyle w:val="Heading4"/>
      </w:pPr>
      <w:r w:rsidRPr="005B6C8E">
        <w:t xml:space="preserve">Option </w:t>
      </w:r>
      <w:r>
        <w:t>6</w:t>
      </w:r>
      <w:r w:rsidRPr="005B6C8E">
        <w:t xml:space="preserve">: </w:t>
      </w:r>
      <w:r>
        <w:t>Request the Department of Health to r</w:t>
      </w:r>
      <w:r w:rsidRPr="005B6C8E">
        <w:t>eview the guideline for PAH Designated Prescribing Centres</w:t>
      </w:r>
      <w:r>
        <w:t xml:space="preserve"> in regard to specific recommendations on patient numbers</w:t>
      </w:r>
    </w:p>
    <w:p w:rsidR="001960CE" w:rsidRPr="005B6C8E" w:rsidRDefault="001960CE" w:rsidP="001960CE">
      <w:pPr>
        <w:spacing w:before="120"/>
        <w:jc w:val="left"/>
        <w:rPr>
          <w:szCs w:val="24"/>
          <w:u w:val="single"/>
        </w:rPr>
      </w:pPr>
      <w:r w:rsidRPr="005B6C8E">
        <w:rPr>
          <w:szCs w:val="24"/>
          <w:u w:val="single"/>
        </w:rPr>
        <w:t>Current restriction</w:t>
      </w:r>
    </w:p>
    <w:p w:rsidR="001960CE" w:rsidRPr="005B6C8E" w:rsidRDefault="001960CE" w:rsidP="001960CE">
      <w:pPr>
        <w:pStyle w:val="ListParagraph"/>
        <w:ind w:left="0"/>
        <w:jc w:val="left"/>
        <w:rPr>
          <w:szCs w:val="24"/>
        </w:rPr>
      </w:pPr>
      <w:r w:rsidRPr="005B6C8E">
        <w:rPr>
          <w:szCs w:val="24"/>
        </w:rPr>
        <w:t>To access PBS subsidised PAH medicines:</w:t>
      </w:r>
    </w:p>
    <w:p w:rsidR="001960CE" w:rsidRPr="005B6C8E" w:rsidRDefault="001960CE" w:rsidP="001960CE">
      <w:pPr>
        <w:pStyle w:val="ListParagraph"/>
        <w:widowControl w:val="0"/>
        <w:numPr>
          <w:ilvl w:val="0"/>
          <w:numId w:val="43"/>
        </w:numPr>
        <w:adjustRightInd w:val="0"/>
        <w:contextualSpacing w:val="0"/>
        <w:jc w:val="left"/>
        <w:textAlignment w:val="baseline"/>
        <w:rPr>
          <w:szCs w:val="24"/>
        </w:rPr>
      </w:pPr>
      <w:r w:rsidRPr="005B6C8E">
        <w:rPr>
          <w:i/>
          <w:szCs w:val="24"/>
        </w:rPr>
        <w:t>…Patient must have been assessed by a physician at a designated hospital</w:t>
      </w:r>
      <w:r w:rsidRPr="005B6C8E">
        <w:rPr>
          <w:szCs w:val="24"/>
        </w:rPr>
        <w:t>…</w:t>
      </w:r>
    </w:p>
    <w:p w:rsidR="001960CE" w:rsidRDefault="001960CE" w:rsidP="001960CE">
      <w:pPr>
        <w:pStyle w:val="ListParagraph"/>
        <w:widowControl w:val="0"/>
        <w:numPr>
          <w:ilvl w:val="0"/>
          <w:numId w:val="34"/>
        </w:numPr>
        <w:adjustRightInd w:val="0"/>
        <w:spacing w:before="120"/>
        <w:contextualSpacing w:val="0"/>
        <w:jc w:val="left"/>
        <w:textAlignment w:val="baseline"/>
        <w:rPr>
          <w:szCs w:val="24"/>
        </w:rPr>
      </w:pPr>
      <w:r w:rsidRPr="005B6C8E">
        <w:rPr>
          <w:szCs w:val="24"/>
        </w:rPr>
        <w:t xml:space="preserve">The Department (TAAD, PHIP Supply Program Section) is managing the </w:t>
      </w:r>
      <w:r w:rsidRPr="005B6C8E">
        <w:rPr>
          <w:i/>
          <w:szCs w:val="24"/>
        </w:rPr>
        <w:t>Highly Specialised Drugs (HSD) Programme</w:t>
      </w:r>
      <w:r w:rsidRPr="005B6C8E">
        <w:rPr>
          <w:szCs w:val="24"/>
        </w:rPr>
        <w:t>, which includes access to PAH medicines through PAH Designated Prescribing Centres. This area assesses applications for hospitals to become a PAH Designated Prescribing Centre based on guidelines.</w:t>
      </w:r>
    </w:p>
    <w:p w:rsidR="001960CE" w:rsidRPr="00B61FF5" w:rsidRDefault="001960CE" w:rsidP="001960CE">
      <w:pPr>
        <w:spacing w:before="120"/>
        <w:jc w:val="left"/>
        <w:rPr>
          <w:szCs w:val="24"/>
          <w:u w:val="single"/>
        </w:rPr>
      </w:pPr>
      <w:r>
        <w:rPr>
          <w:szCs w:val="24"/>
          <w:u w:val="single"/>
        </w:rPr>
        <w:t>Issues for Consideration</w:t>
      </w:r>
    </w:p>
    <w:p w:rsidR="001960CE" w:rsidRPr="00ED6B15" w:rsidRDefault="001960CE" w:rsidP="001960CE">
      <w:pPr>
        <w:pStyle w:val="ListParagraph"/>
        <w:widowControl w:val="0"/>
        <w:numPr>
          <w:ilvl w:val="0"/>
          <w:numId w:val="34"/>
        </w:numPr>
        <w:adjustRightInd w:val="0"/>
        <w:spacing w:before="120"/>
        <w:contextualSpacing w:val="0"/>
        <w:jc w:val="left"/>
        <w:textAlignment w:val="baseline"/>
        <w:rPr>
          <w:szCs w:val="24"/>
        </w:rPr>
      </w:pPr>
      <w:r>
        <w:rPr>
          <w:szCs w:val="24"/>
        </w:rPr>
        <w:t xml:space="preserve">Current Australian guidelines and criteria for PAH designated prescribing centres do not specify minimum patient numbers. </w:t>
      </w:r>
      <w:r w:rsidRPr="00ED6B15">
        <w:rPr>
          <w:szCs w:val="24"/>
        </w:rPr>
        <w:t xml:space="preserve">This may be because the Australian population </w:t>
      </w:r>
      <w:r>
        <w:rPr>
          <w:szCs w:val="24"/>
        </w:rPr>
        <w:t xml:space="preserve">is spread </w:t>
      </w:r>
      <w:r w:rsidRPr="00ED6B15">
        <w:rPr>
          <w:szCs w:val="24"/>
        </w:rPr>
        <w:t>over a large and diverse country.</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The ESC/ERS Guidelines make specific recommendations on the facilities and skills required for a referral centre. In particular, the ideal number of patients seen by an adult centre each year is recommended to be no fewer than 200, of which at least half have a final diagnosis of PAH. In countries with a population of </w:t>
      </w:r>
      <w:r>
        <w:rPr>
          <w:szCs w:val="24"/>
        </w:rPr>
        <w:t xml:space="preserve">over </w:t>
      </w:r>
      <w:r w:rsidRPr="005B6C8E">
        <w:rPr>
          <w:szCs w:val="24"/>
        </w:rPr>
        <w:t>10 million, adult centres should ideally expand to acc</w:t>
      </w:r>
      <w:r>
        <w:rPr>
          <w:szCs w:val="24"/>
        </w:rPr>
        <w:t>ommodate 300 patients annually.</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The ESC/ERS Guidelines also recommend that a referral centre, as a minimum, should follow at least 50 patients with PAH or chronic thromboembolic pulmonary hypertension (CTEPH) and receive at least two new referrals per month with documented PAH or CTEPH.</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Based on PBS prescription data, the number of patients using PAH medicines in 2016 was about 2,400. On average, each centre would see about 40 patients with PAH annually.</w:t>
      </w:r>
    </w:p>
    <w:p w:rsidR="001960CE" w:rsidRPr="001B0315"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lastRenderedPageBreak/>
        <w:t xml:space="preserve">There are over 60 PAH Designated Prescribing Centres in Australia. </w:t>
      </w:r>
      <w:r>
        <w:rPr>
          <w:szCs w:val="24"/>
        </w:rPr>
        <w:t>Over 77 per cent</w:t>
      </w:r>
      <w:r w:rsidRPr="005774BD">
        <w:rPr>
          <w:szCs w:val="24"/>
        </w:rPr>
        <w:t xml:space="preserve"> of the centres are located in </w:t>
      </w:r>
      <w:r>
        <w:rPr>
          <w:szCs w:val="24"/>
        </w:rPr>
        <w:t>metropolitan areas.</w:t>
      </w:r>
    </w:p>
    <w:p w:rsidR="001960CE" w:rsidRPr="005B6C8E" w:rsidRDefault="001960CE" w:rsidP="001960CE">
      <w:pPr>
        <w:spacing w:before="120"/>
        <w:jc w:val="left"/>
        <w:rPr>
          <w:szCs w:val="24"/>
          <w:u w:val="single"/>
        </w:rPr>
      </w:pPr>
      <w:r w:rsidRPr="005B6C8E">
        <w:rPr>
          <w:szCs w:val="24"/>
          <w:u w:val="single"/>
        </w:rPr>
        <w:t>Stakeholder views</w:t>
      </w:r>
    </w:p>
    <w:p w:rsidR="001960CE" w:rsidRPr="001B0315" w:rsidRDefault="001960CE" w:rsidP="001960CE">
      <w:pPr>
        <w:widowControl w:val="0"/>
        <w:numPr>
          <w:ilvl w:val="0"/>
          <w:numId w:val="36"/>
        </w:numPr>
        <w:adjustRightInd w:val="0"/>
        <w:jc w:val="left"/>
        <w:textAlignment w:val="baseline"/>
        <w:rPr>
          <w:szCs w:val="24"/>
        </w:rPr>
      </w:pPr>
      <w:r>
        <w:rPr>
          <w:szCs w:val="24"/>
        </w:rPr>
        <w:t>Stakeholders suggested</w:t>
      </w:r>
      <w:r w:rsidRPr="001B0315">
        <w:rPr>
          <w:szCs w:val="24"/>
        </w:rPr>
        <w:t xml:space="preserve"> the review should explore what constitutes a designated Pulmonary Hypertension (PH) centre and collaboration between centres to improve equity of utilisation of PAH medicines.</w:t>
      </w:r>
    </w:p>
    <w:p w:rsidR="001960CE" w:rsidRPr="001B0315" w:rsidRDefault="001960CE" w:rsidP="001960CE">
      <w:pPr>
        <w:widowControl w:val="0"/>
        <w:numPr>
          <w:ilvl w:val="0"/>
          <w:numId w:val="36"/>
        </w:numPr>
        <w:adjustRightInd w:val="0"/>
        <w:jc w:val="left"/>
        <w:textAlignment w:val="baseline"/>
        <w:rPr>
          <w:szCs w:val="24"/>
        </w:rPr>
      </w:pPr>
      <w:r>
        <w:rPr>
          <w:szCs w:val="24"/>
        </w:rPr>
        <w:t>Stakeholders note</w:t>
      </w:r>
      <w:r w:rsidRPr="001B0315">
        <w:rPr>
          <w:szCs w:val="24"/>
        </w:rPr>
        <w:t xml:space="preserve"> variations in clinical expertise are leading to a variation in treatment and outcomes, and that the Pulmonary Hypertension Society of Australia and New Zealand reported significant differences in mortal</w:t>
      </w:r>
      <w:r>
        <w:rPr>
          <w:szCs w:val="24"/>
        </w:rPr>
        <w:t>ity between treatment centres.</w:t>
      </w:r>
    </w:p>
    <w:p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Consumers noted the difficulties associated with travelling to hospital to pick up medicines, including lengthy travel time and the need to stay overnight. Some noted that home delivery was being introduced.</w:t>
      </w:r>
    </w:p>
    <w:p w:rsidR="001960C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Consumers noted that access to a continuing and reliable supply of PAH medicines could be problematic in rural areas as local pharmaci</w:t>
      </w:r>
      <w:r>
        <w:rPr>
          <w:szCs w:val="24"/>
        </w:rPr>
        <w:t xml:space="preserve">es usually do not carry stock. </w:t>
      </w:r>
      <w:r w:rsidRPr="005B6C8E">
        <w:rPr>
          <w:szCs w:val="24"/>
        </w:rPr>
        <w:t>The supply can be disrupted and cause shortages, such as when fl</w:t>
      </w:r>
      <w:r>
        <w:rPr>
          <w:szCs w:val="24"/>
        </w:rPr>
        <w:t>ooding and road closures occur.</w:t>
      </w:r>
    </w:p>
    <w:p w:rsidR="001960CE" w:rsidRDefault="001960CE">
      <w:pPr>
        <w:jc w:val="left"/>
        <w:rPr>
          <w:rFonts w:eastAsia="Calibri" w:cs="Times New Roman"/>
          <w:szCs w:val="24"/>
          <w:lang w:eastAsia="en-US"/>
        </w:rPr>
      </w:pPr>
      <w:r>
        <w:br w:type="page"/>
      </w:r>
    </w:p>
    <w:p w:rsidR="001960CE" w:rsidRPr="00591E58" w:rsidRDefault="001960CE" w:rsidP="001960CE">
      <w:pPr>
        <w:pStyle w:val="Bullettext"/>
        <w:numPr>
          <w:ilvl w:val="0"/>
          <w:numId w:val="0"/>
        </w:numPr>
        <w:spacing w:after="0" w:line="276" w:lineRule="auto"/>
        <w:ind w:left="426"/>
      </w:pPr>
    </w:p>
    <w:p w:rsidR="00FF3B31" w:rsidRPr="009F466A" w:rsidRDefault="00FF3B31" w:rsidP="00C21496">
      <w:pPr>
        <w:pStyle w:val="Heading1"/>
        <w:jc w:val="left"/>
        <w:rPr>
          <w:sz w:val="40"/>
          <w:szCs w:val="40"/>
        </w:rPr>
      </w:pPr>
      <w:bookmarkStart w:id="145" w:name="_Appendix_A_-"/>
      <w:bookmarkStart w:id="146" w:name="_Appendix_A_–"/>
      <w:bookmarkStart w:id="147" w:name="_Appendix_B_–"/>
      <w:bookmarkStart w:id="148" w:name="_Appendix_C_–"/>
      <w:bookmarkStart w:id="149" w:name="_Toc513110258"/>
      <w:bookmarkEnd w:id="137"/>
      <w:bookmarkEnd w:id="145"/>
      <w:bookmarkEnd w:id="146"/>
      <w:bookmarkEnd w:id="147"/>
      <w:bookmarkEnd w:id="148"/>
      <w:r w:rsidRPr="009F466A">
        <w:rPr>
          <w:sz w:val="40"/>
          <w:szCs w:val="40"/>
        </w:rPr>
        <w:t>References</w:t>
      </w:r>
      <w:bookmarkEnd w:id="149"/>
    </w:p>
    <w:sectPr w:rsidR="00FF3B31" w:rsidRPr="009F466A" w:rsidSect="00864DBF">
      <w:headerReference w:type="even" r:id="rId16"/>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FC" w:rsidRDefault="00C743FC" w:rsidP="00131A64">
      <w:pPr>
        <w:spacing w:after="0" w:line="240" w:lineRule="auto"/>
      </w:pPr>
      <w:r>
        <w:separator/>
      </w:r>
    </w:p>
  </w:endnote>
  <w:endnote w:type="continuationSeparator" w:id="0">
    <w:p w:rsidR="00C743FC" w:rsidRDefault="00C743FC" w:rsidP="00131A64">
      <w:pPr>
        <w:spacing w:after="0" w:line="240" w:lineRule="auto"/>
      </w:pPr>
      <w:r>
        <w:continuationSeparator/>
      </w:r>
    </w:p>
  </w:endnote>
  <w:endnote w:id="1">
    <w:p w:rsidR="00C743FC" w:rsidRPr="00995798" w:rsidRDefault="00C743FC" w:rsidP="00995798">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proofErr w:type="spellStart"/>
      <w:r w:rsidRPr="00995798">
        <w:rPr>
          <w:rFonts w:ascii="Cambria" w:hAnsi="Cambria"/>
        </w:rPr>
        <w:t>Galie</w:t>
      </w:r>
      <w:proofErr w:type="spellEnd"/>
      <w:r w:rsidRPr="00995798">
        <w:rPr>
          <w:rFonts w:ascii="Cambria" w:hAnsi="Cambria"/>
        </w:rPr>
        <w:t xml:space="preserve"> N, Manes A, Negro L, </w:t>
      </w:r>
      <w:proofErr w:type="spellStart"/>
      <w:r w:rsidRPr="00995798">
        <w:rPr>
          <w:rFonts w:ascii="Cambria" w:hAnsi="Cambria"/>
        </w:rPr>
        <w:t>Palazzini</w:t>
      </w:r>
      <w:proofErr w:type="spellEnd"/>
      <w:r w:rsidRPr="00995798">
        <w:rPr>
          <w:rFonts w:ascii="Cambria" w:hAnsi="Cambria"/>
        </w:rPr>
        <w:t xml:space="preserve"> M, </w:t>
      </w:r>
      <w:proofErr w:type="spellStart"/>
      <w:r w:rsidRPr="00995798">
        <w:rPr>
          <w:rFonts w:ascii="Cambria" w:hAnsi="Cambria"/>
        </w:rPr>
        <w:t>Bacchi-Reggiani</w:t>
      </w:r>
      <w:proofErr w:type="spellEnd"/>
      <w:r w:rsidRPr="00995798">
        <w:rPr>
          <w:rFonts w:ascii="Cambria" w:hAnsi="Cambria"/>
        </w:rPr>
        <w:t xml:space="preserve"> ML, </w:t>
      </w:r>
      <w:proofErr w:type="spellStart"/>
      <w:r w:rsidRPr="00995798">
        <w:rPr>
          <w:rFonts w:ascii="Cambria" w:hAnsi="Cambria"/>
        </w:rPr>
        <w:t>Branzi</w:t>
      </w:r>
      <w:proofErr w:type="spellEnd"/>
      <w:r w:rsidRPr="00995798">
        <w:rPr>
          <w:rFonts w:ascii="Cambria" w:hAnsi="Cambria"/>
        </w:rPr>
        <w:t xml:space="preserve"> A. </w:t>
      </w:r>
      <w:proofErr w:type="gramStart"/>
      <w:r w:rsidRPr="00995798">
        <w:rPr>
          <w:rFonts w:ascii="Cambria" w:hAnsi="Cambria"/>
        </w:rPr>
        <w:t>A meta-analysis of randomized controlled trials in pulmonary arterial hypertension.</w:t>
      </w:r>
      <w:proofErr w:type="gramEnd"/>
      <w:r w:rsidRPr="00995798">
        <w:rPr>
          <w:rFonts w:ascii="Cambria" w:hAnsi="Cambria"/>
        </w:rPr>
        <w:t xml:space="preserve"> </w:t>
      </w:r>
      <w:proofErr w:type="spellStart"/>
      <w:r w:rsidRPr="00995798">
        <w:rPr>
          <w:rFonts w:ascii="Cambria" w:hAnsi="Cambria"/>
          <w:i/>
        </w:rPr>
        <w:t>Eur</w:t>
      </w:r>
      <w:proofErr w:type="spellEnd"/>
      <w:r w:rsidRPr="00995798">
        <w:rPr>
          <w:rFonts w:ascii="Cambria" w:hAnsi="Cambria"/>
          <w:i/>
        </w:rPr>
        <w:t xml:space="preserve"> Heart J</w:t>
      </w:r>
      <w:r w:rsidRPr="00995798">
        <w:rPr>
          <w:rFonts w:ascii="Cambria" w:hAnsi="Cambria"/>
        </w:rPr>
        <w:t>. 2009</w:t>
      </w:r>
      <w:proofErr w:type="gramStart"/>
      <w:r w:rsidRPr="00995798">
        <w:rPr>
          <w:rFonts w:ascii="Cambria" w:hAnsi="Cambria"/>
        </w:rPr>
        <w:t>;30</w:t>
      </w:r>
      <w:proofErr w:type="gramEnd"/>
      <w:r w:rsidRPr="00995798">
        <w:rPr>
          <w:rFonts w:ascii="Cambria" w:hAnsi="Cambria"/>
        </w:rPr>
        <w:t>(4):394-403.</w:t>
      </w:r>
    </w:p>
  </w:endnote>
  <w:endnote w:id="2">
    <w:p w:rsidR="00C743FC" w:rsidRPr="00995798" w:rsidRDefault="00C743FC" w:rsidP="00995798">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proofErr w:type="spellStart"/>
      <w:r w:rsidRPr="00995798">
        <w:rPr>
          <w:rFonts w:ascii="Cambria" w:hAnsi="Cambria"/>
        </w:rPr>
        <w:t>Galie</w:t>
      </w:r>
      <w:proofErr w:type="spellEnd"/>
      <w:r w:rsidRPr="00995798">
        <w:rPr>
          <w:rFonts w:ascii="Cambria" w:hAnsi="Cambria"/>
        </w:rPr>
        <w:t xml:space="preserve"> N, Manes A, Negro L, </w:t>
      </w:r>
      <w:proofErr w:type="spellStart"/>
      <w:r w:rsidRPr="00995798">
        <w:rPr>
          <w:rFonts w:ascii="Cambria" w:hAnsi="Cambria"/>
        </w:rPr>
        <w:t>Palazzini</w:t>
      </w:r>
      <w:proofErr w:type="spellEnd"/>
      <w:r w:rsidRPr="00995798">
        <w:rPr>
          <w:rFonts w:ascii="Cambria" w:hAnsi="Cambria"/>
        </w:rPr>
        <w:t xml:space="preserve"> M, </w:t>
      </w:r>
      <w:proofErr w:type="spellStart"/>
      <w:r w:rsidRPr="00995798">
        <w:rPr>
          <w:rFonts w:ascii="Cambria" w:hAnsi="Cambria"/>
        </w:rPr>
        <w:t>Bacchi-Reggiani</w:t>
      </w:r>
      <w:proofErr w:type="spellEnd"/>
      <w:r w:rsidRPr="00995798">
        <w:rPr>
          <w:rFonts w:ascii="Cambria" w:hAnsi="Cambria"/>
        </w:rPr>
        <w:t xml:space="preserve"> ML, </w:t>
      </w:r>
      <w:proofErr w:type="spellStart"/>
      <w:r w:rsidRPr="00995798">
        <w:rPr>
          <w:rFonts w:ascii="Cambria" w:hAnsi="Cambria"/>
        </w:rPr>
        <w:t>Branzi</w:t>
      </w:r>
      <w:proofErr w:type="spellEnd"/>
      <w:r w:rsidRPr="00995798">
        <w:rPr>
          <w:rFonts w:ascii="Cambria" w:hAnsi="Cambria"/>
        </w:rPr>
        <w:t xml:space="preserve"> A. </w:t>
      </w:r>
      <w:proofErr w:type="gramStart"/>
      <w:r w:rsidRPr="00995798">
        <w:rPr>
          <w:rFonts w:ascii="Cambria" w:hAnsi="Cambria"/>
        </w:rPr>
        <w:t>A meta-analysis of randomized controlled trials in pulmonary arterial hypertension.</w:t>
      </w:r>
      <w:proofErr w:type="gramEnd"/>
      <w:r w:rsidRPr="00995798">
        <w:rPr>
          <w:rFonts w:ascii="Cambria" w:hAnsi="Cambria"/>
        </w:rPr>
        <w:t xml:space="preserve"> </w:t>
      </w:r>
      <w:proofErr w:type="spellStart"/>
      <w:r w:rsidRPr="00995798">
        <w:rPr>
          <w:rFonts w:ascii="Cambria" w:hAnsi="Cambria"/>
          <w:i/>
        </w:rPr>
        <w:t>Eur</w:t>
      </w:r>
      <w:proofErr w:type="spellEnd"/>
      <w:r w:rsidRPr="00995798">
        <w:rPr>
          <w:rFonts w:ascii="Cambria" w:hAnsi="Cambria"/>
          <w:i/>
        </w:rPr>
        <w:t xml:space="preserve"> Heart J</w:t>
      </w:r>
      <w:r w:rsidRPr="00995798">
        <w:rPr>
          <w:rFonts w:ascii="Cambria" w:hAnsi="Cambria"/>
        </w:rPr>
        <w:t>. 2009; 30(4):394-403.</w:t>
      </w:r>
    </w:p>
  </w:endnote>
  <w:endnote w:id="3">
    <w:p w:rsidR="00C743FC" w:rsidRPr="00995798" w:rsidRDefault="00C743FC" w:rsidP="00995798">
      <w:pPr>
        <w:pStyle w:val="EndnoteText"/>
        <w:tabs>
          <w:tab w:val="left" w:pos="426"/>
        </w:tabs>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t>Peacock AJ, Murphy NF, McMurray JJV, Caballero L, Stewart S. An epidemiological</w:t>
      </w:r>
    </w:p>
    <w:p w:rsidR="00C743FC" w:rsidRPr="00995798" w:rsidRDefault="00C743FC" w:rsidP="00995798">
      <w:pPr>
        <w:pStyle w:val="EndnoteText"/>
        <w:ind w:left="426"/>
        <w:jc w:val="left"/>
        <w:rPr>
          <w:rFonts w:ascii="Cambria" w:hAnsi="Cambria"/>
        </w:rPr>
      </w:pPr>
      <w:proofErr w:type="gramStart"/>
      <w:r w:rsidRPr="00995798">
        <w:rPr>
          <w:rFonts w:ascii="Cambria" w:hAnsi="Cambria"/>
        </w:rPr>
        <w:t>study</w:t>
      </w:r>
      <w:proofErr w:type="gramEnd"/>
      <w:r w:rsidRPr="00995798">
        <w:rPr>
          <w:rFonts w:ascii="Cambria" w:hAnsi="Cambria"/>
        </w:rPr>
        <w:t xml:space="preserve"> of pulmonary arterial hypertension. </w:t>
      </w:r>
      <w:proofErr w:type="spellStart"/>
      <w:r w:rsidRPr="00995798">
        <w:rPr>
          <w:rFonts w:ascii="Cambria" w:hAnsi="Cambria"/>
          <w:i/>
        </w:rPr>
        <w:t>Eur</w:t>
      </w:r>
      <w:proofErr w:type="spellEnd"/>
      <w:r w:rsidRPr="00995798">
        <w:rPr>
          <w:rFonts w:ascii="Cambria" w:hAnsi="Cambria"/>
          <w:i/>
        </w:rPr>
        <w:t xml:space="preserve"> </w:t>
      </w:r>
      <w:proofErr w:type="spellStart"/>
      <w:r w:rsidRPr="00995798">
        <w:rPr>
          <w:rFonts w:ascii="Cambria" w:hAnsi="Cambria"/>
          <w:i/>
        </w:rPr>
        <w:t>Respir</w:t>
      </w:r>
      <w:proofErr w:type="spellEnd"/>
      <w:r w:rsidRPr="00995798">
        <w:rPr>
          <w:rFonts w:ascii="Cambria" w:hAnsi="Cambria"/>
          <w:i/>
        </w:rPr>
        <w:t xml:space="preserve"> J</w:t>
      </w:r>
      <w:r w:rsidRPr="00995798">
        <w:rPr>
          <w:rFonts w:ascii="Cambria" w:hAnsi="Cambria"/>
        </w:rPr>
        <w:t xml:space="preserve"> 2007</w:t>
      </w:r>
      <w:proofErr w:type="gramStart"/>
      <w:r w:rsidRPr="00995798">
        <w:rPr>
          <w:rFonts w:ascii="Cambria" w:hAnsi="Cambria"/>
        </w:rPr>
        <w:t>;30:104</w:t>
      </w:r>
      <w:proofErr w:type="gramEnd"/>
      <w:r w:rsidRPr="00995798">
        <w:rPr>
          <w:rFonts w:ascii="Cambria" w:hAnsi="Cambria"/>
        </w:rPr>
        <w:t>–109.</w:t>
      </w:r>
    </w:p>
  </w:endnote>
  <w:endnote w:id="4">
    <w:p w:rsidR="00C743FC" w:rsidRPr="00995798" w:rsidRDefault="00C743FC" w:rsidP="00995798">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proofErr w:type="gramStart"/>
      <w:r w:rsidRPr="00995798">
        <w:rPr>
          <w:rFonts w:ascii="Cambria" w:hAnsi="Cambria"/>
        </w:rPr>
        <w:t>Drug utilisation sub-committee (DUSC).</w:t>
      </w:r>
      <w:proofErr w:type="gramEnd"/>
      <w:r w:rsidRPr="00995798">
        <w:rPr>
          <w:rFonts w:ascii="Cambria" w:hAnsi="Cambria"/>
        </w:rPr>
        <w:t xml:space="preserve"> </w:t>
      </w:r>
      <w:proofErr w:type="gramStart"/>
      <w:r w:rsidRPr="00995798">
        <w:rPr>
          <w:rFonts w:ascii="Cambria" w:hAnsi="Cambria"/>
        </w:rPr>
        <w:t>Pulmonary Arterial Hypertension (PAH) medicines utilisation analysis.</w:t>
      </w:r>
      <w:proofErr w:type="gramEnd"/>
      <w:r w:rsidRPr="00995798">
        <w:rPr>
          <w:rFonts w:ascii="Cambria" w:hAnsi="Cambria"/>
        </w:rPr>
        <w:t xml:space="preserve"> February 2015.  </w:t>
      </w:r>
      <w:hyperlink r:id="rId1" w:history="1">
        <w:r w:rsidRPr="00995798">
          <w:rPr>
            <w:rStyle w:val="Hyperlink"/>
            <w:rFonts w:ascii="Cambria" w:hAnsi="Cambria"/>
          </w:rPr>
          <w:t>http://www.pbs.gov.au/info/industry/listing/participants/public-release-docs/pulm-art-hypertension/pulmonary-arterial-hypertension-pah-medicines-utilisation</w:t>
        </w:r>
      </w:hyperlink>
      <w:r w:rsidRPr="00995798">
        <w:rPr>
          <w:rFonts w:ascii="Cambria" w:hAnsi="Cambria"/>
        </w:rPr>
        <w:t xml:space="preserve"> [Accessed 19 March 2018]</w:t>
      </w:r>
    </w:p>
  </w:endnote>
  <w:endnote w:id="5">
    <w:p w:rsidR="00C743FC" w:rsidRPr="00995798" w:rsidRDefault="00C743FC" w:rsidP="00A94DF2">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proofErr w:type="spellStart"/>
      <w:r w:rsidRPr="00995798">
        <w:rPr>
          <w:rFonts w:ascii="Cambria" w:hAnsi="Cambria"/>
        </w:rPr>
        <w:t>Galie</w:t>
      </w:r>
      <w:proofErr w:type="spellEnd"/>
      <w:r w:rsidRPr="00995798">
        <w:rPr>
          <w:rFonts w:ascii="Cambria" w:hAnsi="Cambria"/>
        </w:rPr>
        <w:t xml:space="preserve"> N, Humbert M, </w:t>
      </w:r>
      <w:proofErr w:type="spellStart"/>
      <w:r w:rsidRPr="00995798">
        <w:rPr>
          <w:rFonts w:ascii="Cambria" w:hAnsi="Cambria"/>
        </w:rPr>
        <w:t>Vachiery</w:t>
      </w:r>
      <w:proofErr w:type="spellEnd"/>
      <w:r w:rsidRPr="00995798">
        <w:rPr>
          <w:rFonts w:ascii="Cambria" w:hAnsi="Cambria"/>
        </w:rPr>
        <w:t xml:space="preserve"> JL, Gibbs S, Lang I, </w:t>
      </w:r>
      <w:proofErr w:type="spellStart"/>
      <w:r w:rsidRPr="00995798">
        <w:rPr>
          <w:rFonts w:ascii="Cambria" w:hAnsi="Cambria"/>
        </w:rPr>
        <w:t>Torbicki</w:t>
      </w:r>
      <w:proofErr w:type="spellEnd"/>
      <w:r w:rsidRPr="00995798">
        <w:rPr>
          <w:rFonts w:ascii="Cambria" w:hAnsi="Cambria"/>
        </w:rPr>
        <w:t xml:space="preserve"> A,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proofErr w:type="spellStart"/>
      <w:r w:rsidRPr="00995798">
        <w:rPr>
          <w:rFonts w:ascii="Cambria" w:hAnsi="Cambria"/>
          <w:i/>
        </w:rPr>
        <w:t>Eur</w:t>
      </w:r>
      <w:proofErr w:type="spellEnd"/>
      <w:r w:rsidRPr="00995798">
        <w:rPr>
          <w:rFonts w:ascii="Cambria" w:hAnsi="Cambria"/>
          <w:i/>
        </w:rPr>
        <w:t xml:space="preserve"> </w:t>
      </w:r>
      <w:proofErr w:type="spellStart"/>
      <w:r w:rsidRPr="00995798">
        <w:rPr>
          <w:rFonts w:ascii="Cambria" w:hAnsi="Cambria"/>
          <w:i/>
        </w:rPr>
        <w:t>Respir</w:t>
      </w:r>
      <w:proofErr w:type="spellEnd"/>
      <w:r w:rsidRPr="00995798">
        <w:rPr>
          <w:rFonts w:ascii="Cambria" w:hAnsi="Cambria"/>
          <w:i/>
        </w:rPr>
        <w:t xml:space="preserve"> J</w:t>
      </w:r>
      <w:r w:rsidRPr="00995798">
        <w:rPr>
          <w:rFonts w:ascii="Cambria" w:hAnsi="Cambria"/>
        </w:rPr>
        <w:t>. 2015; 46(4):903-75.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auto"/>
    <w:pitch w:val="variable"/>
    <w:sig w:usb0="80000063"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Humanist 77 7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1581"/>
      <w:docPartObj>
        <w:docPartGallery w:val="Page Numbers (Bottom of Page)"/>
        <w:docPartUnique/>
      </w:docPartObj>
    </w:sdtPr>
    <w:sdtEndPr>
      <w:rPr>
        <w:noProof/>
      </w:rPr>
    </w:sdtEndPr>
    <w:sdtContent>
      <w:p w:rsidR="00C743FC" w:rsidRDefault="00C743FC" w:rsidP="00454291">
        <w:pPr>
          <w:pStyle w:val="Footer"/>
          <w:jc w:val="right"/>
        </w:pPr>
        <w:r>
          <w:fldChar w:fldCharType="begin"/>
        </w:r>
        <w:r>
          <w:instrText xml:space="preserve"> PAGE   \* MERGEFORMAT </w:instrText>
        </w:r>
        <w:r>
          <w:fldChar w:fldCharType="separate"/>
        </w:r>
        <w:r w:rsidR="006D6BFD">
          <w:rPr>
            <w:noProof/>
          </w:rPr>
          <w:t>20</w:t>
        </w:r>
        <w:r>
          <w:rPr>
            <w:noProof/>
          </w:rPr>
          <w:fldChar w:fldCharType="end"/>
        </w:r>
      </w:p>
    </w:sdtContent>
  </w:sdt>
  <w:p w:rsidR="00C743FC" w:rsidRPr="00212FCE" w:rsidRDefault="00C743FC" w:rsidP="004C1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2834"/>
      <w:docPartObj>
        <w:docPartGallery w:val="Page Numbers (Bottom of Page)"/>
        <w:docPartUnique/>
      </w:docPartObj>
    </w:sdtPr>
    <w:sdtEndPr>
      <w:rPr>
        <w:noProof/>
      </w:rPr>
    </w:sdtEndPr>
    <w:sdtContent>
      <w:p w:rsidR="00C743FC" w:rsidRDefault="00C743FC" w:rsidP="007E63DF">
        <w:pPr>
          <w:pStyle w:val="Footer"/>
          <w:jc w:val="right"/>
          <w:rPr>
            <w:noProof/>
          </w:rPr>
        </w:pPr>
        <w:r>
          <w:fldChar w:fldCharType="begin"/>
        </w:r>
        <w:r>
          <w:instrText xml:space="preserve"> PAGE   \* MERGEFORMAT </w:instrText>
        </w:r>
        <w:r>
          <w:fldChar w:fldCharType="separate"/>
        </w:r>
        <w:r w:rsidR="006D6BFD">
          <w:rPr>
            <w:noProof/>
          </w:rPr>
          <w:t>21</w:t>
        </w:r>
        <w:r>
          <w:rPr>
            <w:noProof/>
          </w:rPr>
          <w:fldChar w:fldCharType="end"/>
        </w:r>
      </w:p>
    </w:sdtContent>
  </w:sdt>
  <w:p w:rsidR="00C743FC" w:rsidRDefault="00C74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51476"/>
      <w:docPartObj>
        <w:docPartGallery w:val="Page Numbers (Bottom of Page)"/>
        <w:docPartUnique/>
      </w:docPartObj>
    </w:sdtPr>
    <w:sdtEndPr>
      <w:rPr>
        <w:noProof/>
      </w:rPr>
    </w:sdtEndPr>
    <w:sdtContent>
      <w:p w:rsidR="00C743FC" w:rsidRDefault="00C743FC">
        <w:pPr>
          <w:pStyle w:val="Footer"/>
          <w:jc w:val="right"/>
        </w:pPr>
        <w:r>
          <w:fldChar w:fldCharType="begin"/>
        </w:r>
        <w:r>
          <w:instrText xml:space="preserve"> PAGE   \* MERGEFORMAT </w:instrText>
        </w:r>
        <w:r>
          <w:fldChar w:fldCharType="separate"/>
        </w:r>
        <w:r w:rsidR="006D6BFD">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FC" w:rsidRDefault="00C743FC" w:rsidP="00131A64">
      <w:pPr>
        <w:spacing w:after="0" w:line="240" w:lineRule="auto"/>
      </w:pPr>
      <w:r>
        <w:separator/>
      </w:r>
    </w:p>
  </w:footnote>
  <w:footnote w:type="continuationSeparator" w:id="0">
    <w:p w:rsidR="00C743FC" w:rsidRDefault="00C743FC" w:rsidP="0013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989958"/>
      <w:docPartObj>
        <w:docPartGallery w:val="Watermarks"/>
        <w:docPartUnique/>
      </w:docPartObj>
    </w:sdtPr>
    <w:sdtEndPr/>
    <w:sdtContent>
      <w:p w:rsidR="00C743FC" w:rsidRDefault="006D6BF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FC" w:rsidRDefault="00C74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0C29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outline w:val="0"/>
        <w:shadow w:val="0"/>
        <w:emboss w:val="0"/>
        <w:imprint w:val="0"/>
        <w:noProof w:val="0"/>
        <w:vanish w:val="0"/>
        <w:color w:val="auto"/>
        <w:spacing w:val="0"/>
        <w:kern w:val="0"/>
        <w:position w:val="0"/>
        <w:sz w:val="22"/>
        <w:szCs w:val="22"/>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B00D4B"/>
    <w:multiLevelType w:val="hybridMultilevel"/>
    <w:tmpl w:val="565091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746AE5"/>
    <w:multiLevelType w:val="hybridMultilevel"/>
    <w:tmpl w:val="3BAED67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F217F5"/>
    <w:multiLevelType w:val="hybridMultilevel"/>
    <w:tmpl w:val="73E2240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0B4578A3"/>
    <w:multiLevelType w:val="multilevel"/>
    <w:tmpl w:val="ABA44B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3256E"/>
    <w:multiLevelType w:val="hybridMultilevel"/>
    <w:tmpl w:val="E32A6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71DF7"/>
    <w:multiLevelType w:val="hybridMultilevel"/>
    <w:tmpl w:val="99E0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11">
    <w:nsid w:val="133E749A"/>
    <w:multiLevelType w:val="hybridMultilevel"/>
    <w:tmpl w:val="31BA2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837D9F"/>
    <w:multiLevelType w:val="hybridMultilevel"/>
    <w:tmpl w:val="132A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6E16C0F"/>
    <w:multiLevelType w:val="hybridMultilevel"/>
    <w:tmpl w:val="B3C03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16">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7">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8">
    <w:nsid w:val="25C53B03"/>
    <w:multiLevelType w:val="multilevel"/>
    <w:tmpl w:val="4CACDF0C"/>
    <w:styleLink w:val="Headings"/>
    <w:lvl w:ilvl="0">
      <w:start w:val="4"/>
      <w:numFmt w:val="decimal"/>
      <w:suff w:val="nothing"/>
      <w:lvlText w:val="Section %1"/>
      <w:lvlJc w:val="left"/>
      <w:pPr>
        <w:ind w:left="3403"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63E44C2"/>
    <w:multiLevelType w:val="hybridMultilevel"/>
    <w:tmpl w:val="3398DEAC"/>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7A17B9B"/>
    <w:multiLevelType w:val="hybridMultilevel"/>
    <w:tmpl w:val="78FA6EB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134323"/>
    <w:multiLevelType w:val="hybridMultilevel"/>
    <w:tmpl w:val="ACB665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AB7DA9"/>
    <w:multiLevelType w:val="hybridMultilevel"/>
    <w:tmpl w:val="118C7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2FB56E0D"/>
    <w:multiLevelType w:val="hybridMultilevel"/>
    <w:tmpl w:val="543A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A57E8C"/>
    <w:multiLevelType w:val="hybridMultilevel"/>
    <w:tmpl w:val="0B60A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7FB4D65"/>
    <w:multiLevelType w:val="hybridMultilevel"/>
    <w:tmpl w:val="A160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9C866CB"/>
    <w:multiLevelType w:val="hybridMultilevel"/>
    <w:tmpl w:val="B9A0A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nsid w:val="3ED07B66"/>
    <w:multiLevelType w:val="hybridMultilevel"/>
    <w:tmpl w:val="6C52ED0A"/>
    <w:lvl w:ilvl="0" w:tplc="1840BCC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FA26C83"/>
    <w:multiLevelType w:val="hybridMultilevel"/>
    <w:tmpl w:val="620285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414D7816"/>
    <w:multiLevelType w:val="hybridMultilevel"/>
    <w:tmpl w:val="35D6A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32D5DB8"/>
    <w:multiLevelType w:val="hybridMultilevel"/>
    <w:tmpl w:val="FF308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8">
    <w:nsid w:val="49CF3EF9"/>
    <w:multiLevelType w:val="multilevel"/>
    <w:tmpl w:val="CD5CE8D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A774D2"/>
    <w:multiLevelType w:val="hybridMultilevel"/>
    <w:tmpl w:val="E542B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41">
    <w:nsid w:val="615E2866"/>
    <w:multiLevelType w:val="hybridMultilevel"/>
    <w:tmpl w:val="FBBA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43">
    <w:nsid w:val="66602CAE"/>
    <w:multiLevelType w:val="hybridMultilevel"/>
    <w:tmpl w:val="AB5A19D2"/>
    <w:styleLink w:val="ESSectionheading-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BA14CF"/>
    <w:multiLevelType w:val="hybridMultilevel"/>
    <w:tmpl w:val="12EC5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nsid w:val="6EA50F2D"/>
    <w:multiLevelType w:val="hybridMultilevel"/>
    <w:tmpl w:val="D57A5C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1CC010C"/>
    <w:multiLevelType w:val="hybridMultilevel"/>
    <w:tmpl w:val="AEA2094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1C3D6A"/>
    <w:multiLevelType w:val="hybridMultilevel"/>
    <w:tmpl w:val="8CBA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5626F0"/>
    <w:multiLevelType w:val="hybridMultilevel"/>
    <w:tmpl w:val="030658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7C006CE5"/>
    <w:multiLevelType w:val="hybridMultilevel"/>
    <w:tmpl w:val="C2CA6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1">
    <w:nsid w:val="7D903E9A"/>
    <w:multiLevelType w:val="hybridMultilevel"/>
    <w:tmpl w:val="A8E2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8"/>
  </w:num>
  <w:num w:numId="2">
    <w:abstractNumId w:val="1"/>
  </w:num>
  <w:num w:numId="3">
    <w:abstractNumId w:val="36"/>
  </w:num>
  <w:num w:numId="4">
    <w:abstractNumId w:val="8"/>
  </w:num>
  <w:num w:numId="5">
    <w:abstractNumId w:val="28"/>
  </w:num>
  <w:num w:numId="6">
    <w:abstractNumId w:val="12"/>
  </w:num>
  <w:num w:numId="7">
    <w:abstractNumId w:val="24"/>
  </w:num>
  <w:num w:numId="8">
    <w:abstractNumId w:val="26"/>
  </w:num>
  <w:num w:numId="9">
    <w:abstractNumId w:val="6"/>
  </w:num>
  <w:num w:numId="10">
    <w:abstractNumId w:val="9"/>
  </w:num>
  <w:num w:numId="11">
    <w:abstractNumId w:val="25"/>
  </w:num>
  <w:num w:numId="12">
    <w:abstractNumId w:val="14"/>
  </w:num>
  <w:num w:numId="13">
    <w:abstractNumId w:val="17"/>
  </w:num>
  <w:num w:numId="14">
    <w:abstractNumId w:val="31"/>
  </w:num>
  <w:num w:numId="15">
    <w:abstractNumId w:val="30"/>
  </w:num>
  <w:num w:numId="16">
    <w:abstractNumId w:val="37"/>
  </w:num>
  <w:num w:numId="17">
    <w:abstractNumId w:val="16"/>
  </w:num>
  <w:num w:numId="18">
    <w:abstractNumId w:val="15"/>
  </w:num>
  <w:num w:numId="19">
    <w:abstractNumId w:val="43"/>
  </w:num>
  <w:num w:numId="20">
    <w:abstractNumId w:val="51"/>
  </w:num>
  <w:num w:numId="21">
    <w:abstractNumId w:val="7"/>
  </w:num>
  <w:num w:numId="22">
    <w:abstractNumId w:val="41"/>
  </w:num>
  <w:num w:numId="23">
    <w:abstractNumId w:val="23"/>
  </w:num>
  <w:num w:numId="24">
    <w:abstractNumId w:val="40"/>
  </w:num>
  <w:num w:numId="25">
    <w:abstractNumId w:val="10"/>
  </w:num>
  <w:num w:numId="26">
    <w:abstractNumId w:val="52"/>
  </w:num>
  <w:num w:numId="27">
    <w:abstractNumId w:val="42"/>
  </w:num>
  <w:num w:numId="28">
    <w:abstractNumId w:val="50"/>
  </w:num>
  <w:num w:numId="29">
    <w:abstractNumId w:val="0"/>
  </w:num>
  <w:num w:numId="30">
    <w:abstractNumId w:val="47"/>
  </w:num>
  <w:num w:numId="31">
    <w:abstractNumId w:val="18"/>
  </w:num>
  <w:num w:numId="32">
    <w:abstractNumId w:val="27"/>
  </w:num>
  <w:num w:numId="33">
    <w:abstractNumId w:val="13"/>
  </w:num>
  <w:num w:numId="34">
    <w:abstractNumId w:val="32"/>
  </w:num>
  <w:num w:numId="35">
    <w:abstractNumId w:val="11"/>
  </w:num>
  <w:num w:numId="36">
    <w:abstractNumId w:val="49"/>
  </w:num>
  <w:num w:numId="37">
    <w:abstractNumId w:val="19"/>
  </w:num>
  <w:num w:numId="38">
    <w:abstractNumId w:val="44"/>
  </w:num>
  <w:num w:numId="39">
    <w:abstractNumId w:val="5"/>
  </w:num>
  <w:num w:numId="40">
    <w:abstractNumId w:val="38"/>
  </w:num>
  <w:num w:numId="41">
    <w:abstractNumId w:val="35"/>
  </w:num>
  <w:num w:numId="42">
    <w:abstractNumId w:val="48"/>
  </w:num>
  <w:num w:numId="43">
    <w:abstractNumId w:val="2"/>
  </w:num>
  <w:num w:numId="44">
    <w:abstractNumId w:val="29"/>
  </w:num>
  <w:num w:numId="45">
    <w:abstractNumId w:val="21"/>
  </w:num>
  <w:num w:numId="46">
    <w:abstractNumId w:val="3"/>
  </w:num>
  <w:num w:numId="47">
    <w:abstractNumId w:val="46"/>
  </w:num>
  <w:num w:numId="48">
    <w:abstractNumId w:val="20"/>
  </w:num>
  <w:num w:numId="49">
    <w:abstractNumId w:val="4"/>
  </w:num>
  <w:num w:numId="50">
    <w:abstractNumId w:val="33"/>
  </w:num>
  <w:num w:numId="51">
    <w:abstractNumId w:val="34"/>
  </w:num>
  <w:num w:numId="52">
    <w:abstractNumId w:val="39"/>
  </w:num>
  <w:num w:numId="53">
    <w:abstractNumId w:val="45"/>
  </w:num>
  <w:num w:numId="54">
    <w:abstractNumId w:val="22"/>
  </w:num>
  <w:num w:numId="55">
    <w:abstractNumId w:val="24"/>
  </w:num>
  <w:num w:numId="56">
    <w:abstractNumId w:val="24"/>
  </w:num>
  <w:num w:numId="57">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60"/>
    <w:rsid w:val="00000E81"/>
    <w:rsid w:val="00002EF5"/>
    <w:rsid w:val="0000568D"/>
    <w:rsid w:val="000064E0"/>
    <w:rsid w:val="000074DA"/>
    <w:rsid w:val="000122DB"/>
    <w:rsid w:val="00015414"/>
    <w:rsid w:val="000179B4"/>
    <w:rsid w:val="0002154C"/>
    <w:rsid w:val="0002201F"/>
    <w:rsid w:val="000223C1"/>
    <w:rsid w:val="000223D2"/>
    <w:rsid w:val="0002281B"/>
    <w:rsid w:val="00022ED8"/>
    <w:rsid w:val="000230A6"/>
    <w:rsid w:val="000235A6"/>
    <w:rsid w:val="00023A50"/>
    <w:rsid w:val="0002500F"/>
    <w:rsid w:val="000253E9"/>
    <w:rsid w:val="00025F4E"/>
    <w:rsid w:val="000265EC"/>
    <w:rsid w:val="000269D3"/>
    <w:rsid w:val="00026DB6"/>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23FD"/>
    <w:rsid w:val="0005267C"/>
    <w:rsid w:val="00054219"/>
    <w:rsid w:val="00055439"/>
    <w:rsid w:val="00057CC1"/>
    <w:rsid w:val="000603FB"/>
    <w:rsid w:val="00060F4E"/>
    <w:rsid w:val="0006497A"/>
    <w:rsid w:val="0006501B"/>
    <w:rsid w:val="00065764"/>
    <w:rsid w:val="00065C00"/>
    <w:rsid w:val="000663D3"/>
    <w:rsid w:val="00066EA1"/>
    <w:rsid w:val="00067C30"/>
    <w:rsid w:val="00070850"/>
    <w:rsid w:val="0007148C"/>
    <w:rsid w:val="00071984"/>
    <w:rsid w:val="00072409"/>
    <w:rsid w:val="00073BF6"/>
    <w:rsid w:val="000755B3"/>
    <w:rsid w:val="00075CB2"/>
    <w:rsid w:val="0007635D"/>
    <w:rsid w:val="00080BEA"/>
    <w:rsid w:val="00081DCB"/>
    <w:rsid w:val="00082A22"/>
    <w:rsid w:val="00083616"/>
    <w:rsid w:val="00087D22"/>
    <w:rsid w:val="00091938"/>
    <w:rsid w:val="00091FDD"/>
    <w:rsid w:val="000935DE"/>
    <w:rsid w:val="000944DB"/>
    <w:rsid w:val="00094B05"/>
    <w:rsid w:val="00094B19"/>
    <w:rsid w:val="00095EFB"/>
    <w:rsid w:val="0009621D"/>
    <w:rsid w:val="000963F0"/>
    <w:rsid w:val="000A1734"/>
    <w:rsid w:val="000A2E84"/>
    <w:rsid w:val="000A3B71"/>
    <w:rsid w:val="000A4B4F"/>
    <w:rsid w:val="000A4BF1"/>
    <w:rsid w:val="000A4FA9"/>
    <w:rsid w:val="000A54B2"/>
    <w:rsid w:val="000A5656"/>
    <w:rsid w:val="000A5AD0"/>
    <w:rsid w:val="000A7005"/>
    <w:rsid w:val="000A74CF"/>
    <w:rsid w:val="000A7BC4"/>
    <w:rsid w:val="000B0192"/>
    <w:rsid w:val="000B08B7"/>
    <w:rsid w:val="000B1445"/>
    <w:rsid w:val="000B1785"/>
    <w:rsid w:val="000B320D"/>
    <w:rsid w:val="000B3355"/>
    <w:rsid w:val="000B397E"/>
    <w:rsid w:val="000B4D83"/>
    <w:rsid w:val="000B59A9"/>
    <w:rsid w:val="000B612B"/>
    <w:rsid w:val="000C0AF6"/>
    <w:rsid w:val="000C0B54"/>
    <w:rsid w:val="000C2807"/>
    <w:rsid w:val="000C3409"/>
    <w:rsid w:val="000C5294"/>
    <w:rsid w:val="000C7B1E"/>
    <w:rsid w:val="000D21FC"/>
    <w:rsid w:val="000D568E"/>
    <w:rsid w:val="000D6085"/>
    <w:rsid w:val="000D735B"/>
    <w:rsid w:val="000E11CB"/>
    <w:rsid w:val="000E260D"/>
    <w:rsid w:val="000E2AB4"/>
    <w:rsid w:val="000E524B"/>
    <w:rsid w:val="000E5495"/>
    <w:rsid w:val="000F1D60"/>
    <w:rsid w:val="000F254B"/>
    <w:rsid w:val="000F2556"/>
    <w:rsid w:val="000F3BC0"/>
    <w:rsid w:val="000F72BC"/>
    <w:rsid w:val="00101F92"/>
    <w:rsid w:val="001021C8"/>
    <w:rsid w:val="0010401C"/>
    <w:rsid w:val="00105D06"/>
    <w:rsid w:val="001101C2"/>
    <w:rsid w:val="00110BAF"/>
    <w:rsid w:val="00110C23"/>
    <w:rsid w:val="00111072"/>
    <w:rsid w:val="00112C29"/>
    <w:rsid w:val="00113BBC"/>
    <w:rsid w:val="0011480E"/>
    <w:rsid w:val="00115A41"/>
    <w:rsid w:val="00117B58"/>
    <w:rsid w:val="00121BD5"/>
    <w:rsid w:val="0012304D"/>
    <w:rsid w:val="001234CB"/>
    <w:rsid w:val="001259DE"/>
    <w:rsid w:val="001268FF"/>
    <w:rsid w:val="001278F8"/>
    <w:rsid w:val="00131A64"/>
    <w:rsid w:val="00131C7E"/>
    <w:rsid w:val="00133745"/>
    <w:rsid w:val="00134E08"/>
    <w:rsid w:val="001351AC"/>
    <w:rsid w:val="001379D4"/>
    <w:rsid w:val="00137D8F"/>
    <w:rsid w:val="0014080B"/>
    <w:rsid w:val="00140A2B"/>
    <w:rsid w:val="0014316A"/>
    <w:rsid w:val="00143204"/>
    <w:rsid w:val="001443F2"/>
    <w:rsid w:val="00145F88"/>
    <w:rsid w:val="00146FA9"/>
    <w:rsid w:val="00152166"/>
    <w:rsid w:val="00152289"/>
    <w:rsid w:val="00152D47"/>
    <w:rsid w:val="00153744"/>
    <w:rsid w:val="00153E2A"/>
    <w:rsid w:val="0015631D"/>
    <w:rsid w:val="001578B6"/>
    <w:rsid w:val="00157DCB"/>
    <w:rsid w:val="0016033A"/>
    <w:rsid w:val="00162049"/>
    <w:rsid w:val="0016331A"/>
    <w:rsid w:val="00163F63"/>
    <w:rsid w:val="00165056"/>
    <w:rsid w:val="001658D7"/>
    <w:rsid w:val="00165D31"/>
    <w:rsid w:val="00165EF0"/>
    <w:rsid w:val="00166AC7"/>
    <w:rsid w:val="0016740F"/>
    <w:rsid w:val="00170585"/>
    <w:rsid w:val="001705EA"/>
    <w:rsid w:val="00172E4C"/>
    <w:rsid w:val="001735E0"/>
    <w:rsid w:val="00175D4E"/>
    <w:rsid w:val="00176B12"/>
    <w:rsid w:val="0017746E"/>
    <w:rsid w:val="00177619"/>
    <w:rsid w:val="00177B3C"/>
    <w:rsid w:val="00177CE5"/>
    <w:rsid w:val="001809AC"/>
    <w:rsid w:val="00181E0F"/>
    <w:rsid w:val="00183A07"/>
    <w:rsid w:val="00184491"/>
    <w:rsid w:val="0018489E"/>
    <w:rsid w:val="001869BF"/>
    <w:rsid w:val="001875B5"/>
    <w:rsid w:val="00187AB4"/>
    <w:rsid w:val="0019150C"/>
    <w:rsid w:val="001939EA"/>
    <w:rsid w:val="00193CE6"/>
    <w:rsid w:val="00194DC1"/>
    <w:rsid w:val="001951EA"/>
    <w:rsid w:val="001960CE"/>
    <w:rsid w:val="00196629"/>
    <w:rsid w:val="00196A47"/>
    <w:rsid w:val="00197098"/>
    <w:rsid w:val="001A1AD7"/>
    <w:rsid w:val="001A1E58"/>
    <w:rsid w:val="001A2F37"/>
    <w:rsid w:val="001A35B9"/>
    <w:rsid w:val="001A384F"/>
    <w:rsid w:val="001A491F"/>
    <w:rsid w:val="001A4F17"/>
    <w:rsid w:val="001A63CD"/>
    <w:rsid w:val="001A7729"/>
    <w:rsid w:val="001B1577"/>
    <w:rsid w:val="001B2868"/>
    <w:rsid w:val="001B48DC"/>
    <w:rsid w:val="001C0980"/>
    <w:rsid w:val="001C13CA"/>
    <w:rsid w:val="001C1C3E"/>
    <w:rsid w:val="001C3147"/>
    <w:rsid w:val="001C35C9"/>
    <w:rsid w:val="001C4051"/>
    <w:rsid w:val="001C4EE1"/>
    <w:rsid w:val="001C6B9D"/>
    <w:rsid w:val="001C7CCF"/>
    <w:rsid w:val="001D0E78"/>
    <w:rsid w:val="001D255D"/>
    <w:rsid w:val="001D2DF0"/>
    <w:rsid w:val="001D2DF9"/>
    <w:rsid w:val="001D320C"/>
    <w:rsid w:val="001D3573"/>
    <w:rsid w:val="001D38D2"/>
    <w:rsid w:val="001D3EDF"/>
    <w:rsid w:val="001D687C"/>
    <w:rsid w:val="001E04F1"/>
    <w:rsid w:val="001E19BF"/>
    <w:rsid w:val="001E33D0"/>
    <w:rsid w:val="001E4089"/>
    <w:rsid w:val="001E4A4C"/>
    <w:rsid w:val="001E5510"/>
    <w:rsid w:val="001E63E5"/>
    <w:rsid w:val="001F19D6"/>
    <w:rsid w:val="001F1CD5"/>
    <w:rsid w:val="001F27B0"/>
    <w:rsid w:val="001F326A"/>
    <w:rsid w:val="001F39F6"/>
    <w:rsid w:val="001F4BBA"/>
    <w:rsid w:val="001F750F"/>
    <w:rsid w:val="002001E6"/>
    <w:rsid w:val="00200248"/>
    <w:rsid w:val="002012C2"/>
    <w:rsid w:val="00203BFB"/>
    <w:rsid w:val="00204221"/>
    <w:rsid w:val="00204D93"/>
    <w:rsid w:val="00205C1C"/>
    <w:rsid w:val="0021091E"/>
    <w:rsid w:val="00211130"/>
    <w:rsid w:val="002128D6"/>
    <w:rsid w:val="00212FCE"/>
    <w:rsid w:val="00213139"/>
    <w:rsid w:val="00213F09"/>
    <w:rsid w:val="00216527"/>
    <w:rsid w:val="00220104"/>
    <w:rsid w:val="00220EDF"/>
    <w:rsid w:val="00224A73"/>
    <w:rsid w:val="002256C3"/>
    <w:rsid w:val="00227620"/>
    <w:rsid w:val="00230B8A"/>
    <w:rsid w:val="002317FC"/>
    <w:rsid w:val="00231C65"/>
    <w:rsid w:val="00232251"/>
    <w:rsid w:val="002327D9"/>
    <w:rsid w:val="0023483F"/>
    <w:rsid w:val="00235E0A"/>
    <w:rsid w:val="00236763"/>
    <w:rsid w:val="002415C6"/>
    <w:rsid w:val="00241B75"/>
    <w:rsid w:val="00242062"/>
    <w:rsid w:val="002428A6"/>
    <w:rsid w:val="00243AD5"/>
    <w:rsid w:val="00243F48"/>
    <w:rsid w:val="00243FA1"/>
    <w:rsid w:val="00243FBF"/>
    <w:rsid w:val="002466BE"/>
    <w:rsid w:val="00246CDF"/>
    <w:rsid w:val="00247F11"/>
    <w:rsid w:val="002500A6"/>
    <w:rsid w:val="00250C50"/>
    <w:rsid w:val="00251678"/>
    <w:rsid w:val="0025194B"/>
    <w:rsid w:val="002523EA"/>
    <w:rsid w:val="00253ABB"/>
    <w:rsid w:val="00257D4E"/>
    <w:rsid w:val="00257F1A"/>
    <w:rsid w:val="00261A56"/>
    <w:rsid w:val="00261A7D"/>
    <w:rsid w:val="002629CB"/>
    <w:rsid w:val="00263FE1"/>
    <w:rsid w:val="0026530E"/>
    <w:rsid w:val="00266E02"/>
    <w:rsid w:val="00267C57"/>
    <w:rsid w:val="00270470"/>
    <w:rsid w:val="00270D86"/>
    <w:rsid w:val="002717D1"/>
    <w:rsid w:val="00271DE2"/>
    <w:rsid w:val="00272185"/>
    <w:rsid w:val="00275FBC"/>
    <w:rsid w:val="00277BAE"/>
    <w:rsid w:val="0028045F"/>
    <w:rsid w:val="00283857"/>
    <w:rsid w:val="00284512"/>
    <w:rsid w:val="00285854"/>
    <w:rsid w:val="00285C95"/>
    <w:rsid w:val="002868EB"/>
    <w:rsid w:val="00287013"/>
    <w:rsid w:val="002873B8"/>
    <w:rsid w:val="00287BED"/>
    <w:rsid w:val="00291605"/>
    <w:rsid w:val="00291955"/>
    <w:rsid w:val="00291DFF"/>
    <w:rsid w:val="00293E81"/>
    <w:rsid w:val="00294174"/>
    <w:rsid w:val="002941E4"/>
    <w:rsid w:val="00296B13"/>
    <w:rsid w:val="002971B9"/>
    <w:rsid w:val="00297B37"/>
    <w:rsid w:val="00297CBA"/>
    <w:rsid w:val="002A0772"/>
    <w:rsid w:val="002A07AF"/>
    <w:rsid w:val="002A0833"/>
    <w:rsid w:val="002A25CD"/>
    <w:rsid w:val="002A470A"/>
    <w:rsid w:val="002A49C0"/>
    <w:rsid w:val="002A5E72"/>
    <w:rsid w:val="002A7B5F"/>
    <w:rsid w:val="002B0137"/>
    <w:rsid w:val="002B1993"/>
    <w:rsid w:val="002B1CA8"/>
    <w:rsid w:val="002B299E"/>
    <w:rsid w:val="002B2C1A"/>
    <w:rsid w:val="002B3771"/>
    <w:rsid w:val="002B453F"/>
    <w:rsid w:val="002B4E50"/>
    <w:rsid w:val="002B621A"/>
    <w:rsid w:val="002B649F"/>
    <w:rsid w:val="002B6569"/>
    <w:rsid w:val="002B6D4B"/>
    <w:rsid w:val="002C082C"/>
    <w:rsid w:val="002C1299"/>
    <w:rsid w:val="002C27E0"/>
    <w:rsid w:val="002C3109"/>
    <w:rsid w:val="002C3B52"/>
    <w:rsid w:val="002C47CE"/>
    <w:rsid w:val="002C4D7E"/>
    <w:rsid w:val="002C7876"/>
    <w:rsid w:val="002C7ABB"/>
    <w:rsid w:val="002D1DBF"/>
    <w:rsid w:val="002D2CBD"/>
    <w:rsid w:val="002D3BA3"/>
    <w:rsid w:val="002D3EA5"/>
    <w:rsid w:val="002D48E6"/>
    <w:rsid w:val="002D4C49"/>
    <w:rsid w:val="002D5645"/>
    <w:rsid w:val="002D5AB9"/>
    <w:rsid w:val="002D7187"/>
    <w:rsid w:val="002E1D76"/>
    <w:rsid w:val="002E28EC"/>
    <w:rsid w:val="002E41E6"/>
    <w:rsid w:val="002E47C6"/>
    <w:rsid w:val="002E57C2"/>
    <w:rsid w:val="002E6D42"/>
    <w:rsid w:val="002F0315"/>
    <w:rsid w:val="002F13BF"/>
    <w:rsid w:val="002F19C2"/>
    <w:rsid w:val="002F1CBE"/>
    <w:rsid w:val="002F3DA1"/>
    <w:rsid w:val="002F40FE"/>
    <w:rsid w:val="003013BC"/>
    <w:rsid w:val="00301A17"/>
    <w:rsid w:val="00302DF8"/>
    <w:rsid w:val="00302F1F"/>
    <w:rsid w:val="0030305C"/>
    <w:rsid w:val="00304DFF"/>
    <w:rsid w:val="00304F8D"/>
    <w:rsid w:val="003060AD"/>
    <w:rsid w:val="0030695F"/>
    <w:rsid w:val="003072C9"/>
    <w:rsid w:val="0030771F"/>
    <w:rsid w:val="00310196"/>
    <w:rsid w:val="00311566"/>
    <w:rsid w:val="00314958"/>
    <w:rsid w:val="00316A02"/>
    <w:rsid w:val="00317D31"/>
    <w:rsid w:val="003218AB"/>
    <w:rsid w:val="00321982"/>
    <w:rsid w:val="00321DBE"/>
    <w:rsid w:val="00323A47"/>
    <w:rsid w:val="0032418B"/>
    <w:rsid w:val="00324EEC"/>
    <w:rsid w:val="00325490"/>
    <w:rsid w:val="00325CA6"/>
    <w:rsid w:val="00327DB0"/>
    <w:rsid w:val="00330D1C"/>
    <w:rsid w:val="0033250D"/>
    <w:rsid w:val="003326B2"/>
    <w:rsid w:val="003340FB"/>
    <w:rsid w:val="00336005"/>
    <w:rsid w:val="00343A91"/>
    <w:rsid w:val="00343E8B"/>
    <w:rsid w:val="003445DF"/>
    <w:rsid w:val="00344C9B"/>
    <w:rsid w:val="00345876"/>
    <w:rsid w:val="00346BA3"/>
    <w:rsid w:val="00346DC8"/>
    <w:rsid w:val="00351C05"/>
    <w:rsid w:val="00352D4A"/>
    <w:rsid w:val="00353B9F"/>
    <w:rsid w:val="00354AEA"/>
    <w:rsid w:val="00355E49"/>
    <w:rsid w:val="003600D5"/>
    <w:rsid w:val="00360774"/>
    <w:rsid w:val="00361602"/>
    <w:rsid w:val="00361C0B"/>
    <w:rsid w:val="00364192"/>
    <w:rsid w:val="00365033"/>
    <w:rsid w:val="00365072"/>
    <w:rsid w:val="003656BB"/>
    <w:rsid w:val="00366226"/>
    <w:rsid w:val="0036779C"/>
    <w:rsid w:val="003711D4"/>
    <w:rsid w:val="003714D0"/>
    <w:rsid w:val="0037156A"/>
    <w:rsid w:val="00373B5B"/>
    <w:rsid w:val="00373D11"/>
    <w:rsid w:val="00373FE0"/>
    <w:rsid w:val="0037566F"/>
    <w:rsid w:val="0037685D"/>
    <w:rsid w:val="00376FDE"/>
    <w:rsid w:val="0037787F"/>
    <w:rsid w:val="003805D2"/>
    <w:rsid w:val="00380BDA"/>
    <w:rsid w:val="00382266"/>
    <w:rsid w:val="00383388"/>
    <w:rsid w:val="00386E0E"/>
    <w:rsid w:val="00387A70"/>
    <w:rsid w:val="00390316"/>
    <w:rsid w:val="0039202A"/>
    <w:rsid w:val="00394233"/>
    <w:rsid w:val="003A1768"/>
    <w:rsid w:val="003A492B"/>
    <w:rsid w:val="003B00E9"/>
    <w:rsid w:val="003B2C19"/>
    <w:rsid w:val="003B415F"/>
    <w:rsid w:val="003B4C11"/>
    <w:rsid w:val="003B577F"/>
    <w:rsid w:val="003B69D9"/>
    <w:rsid w:val="003B773A"/>
    <w:rsid w:val="003B78AD"/>
    <w:rsid w:val="003C2D08"/>
    <w:rsid w:val="003C329C"/>
    <w:rsid w:val="003C4AFD"/>
    <w:rsid w:val="003C4B35"/>
    <w:rsid w:val="003C54DB"/>
    <w:rsid w:val="003D0BBD"/>
    <w:rsid w:val="003D1F1C"/>
    <w:rsid w:val="003D2261"/>
    <w:rsid w:val="003D3F4D"/>
    <w:rsid w:val="003D4285"/>
    <w:rsid w:val="003D4B4D"/>
    <w:rsid w:val="003E2066"/>
    <w:rsid w:val="003E2602"/>
    <w:rsid w:val="003E338B"/>
    <w:rsid w:val="003E3641"/>
    <w:rsid w:val="003E46B3"/>
    <w:rsid w:val="003E617B"/>
    <w:rsid w:val="003E6E50"/>
    <w:rsid w:val="003E716F"/>
    <w:rsid w:val="003F0123"/>
    <w:rsid w:val="003F2EB2"/>
    <w:rsid w:val="003F49EF"/>
    <w:rsid w:val="003F627A"/>
    <w:rsid w:val="00402B39"/>
    <w:rsid w:val="00402EDF"/>
    <w:rsid w:val="00406336"/>
    <w:rsid w:val="00406B68"/>
    <w:rsid w:val="004079FE"/>
    <w:rsid w:val="004112F3"/>
    <w:rsid w:val="00411C79"/>
    <w:rsid w:val="0041360B"/>
    <w:rsid w:val="0041405D"/>
    <w:rsid w:val="00414537"/>
    <w:rsid w:val="00414DBB"/>
    <w:rsid w:val="00417BCE"/>
    <w:rsid w:val="00417E4C"/>
    <w:rsid w:val="00421BA6"/>
    <w:rsid w:val="00422086"/>
    <w:rsid w:val="004222D1"/>
    <w:rsid w:val="00423A6F"/>
    <w:rsid w:val="004249B8"/>
    <w:rsid w:val="0042514C"/>
    <w:rsid w:val="00427FF4"/>
    <w:rsid w:val="0043006E"/>
    <w:rsid w:val="00430AA7"/>
    <w:rsid w:val="0043146C"/>
    <w:rsid w:val="0043400B"/>
    <w:rsid w:val="00435C7C"/>
    <w:rsid w:val="00436FE7"/>
    <w:rsid w:val="00441F01"/>
    <w:rsid w:val="00442CB3"/>
    <w:rsid w:val="0044383C"/>
    <w:rsid w:val="00444DF2"/>
    <w:rsid w:val="00450C9E"/>
    <w:rsid w:val="00451306"/>
    <w:rsid w:val="00451F0E"/>
    <w:rsid w:val="004526CB"/>
    <w:rsid w:val="00453FE8"/>
    <w:rsid w:val="00454291"/>
    <w:rsid w:val="00454E5A"/>
    <w:rsid w:val="00455F4A"/>
    <w:rsid w:val="00457E7E"/>
    <w:rsid w:val="00461BC4"/>
    <w:rsid w:val="00463760"/>
    <w:rsid w:val="0046458B"/>
    <w:rsid w:val="00464857"/>
    <w:rsid w:val="004652A1"/>
    <w:rsid w:val="00465ECF"/>
    <w:rsid w:val="00466C51"/>
    <w:rsid w:val="004703C0"/>
    <w:rsid w:val="00470DD3"/>
    <w:rsid w:val="004733E1"/>
    <w:rsid w:val="0047342A"/>
    <w:rsid w:val="0047458A"/>
    <w:rsid w:val="00475058"/>
    <w:rsid w:val="004755F1"/>
    <w:rsid w:val="00475FAF"/>
    <w:rsid w:val="00476E22"/>
    <w:rsid w:val="00476F86"/>
    <w:rsid w:val="00477C4F"/>
    <w:rsid w:val="00480124"/>
    <w:rsid w:val="00480450"/>
    <w:rsid w:val="00483148"/>
    <w:rsid w:val="00485A1B"/>
    <w:rsid w:val="0048707C"/>
    <w:rsid w:val="0048720C"/>
    <w:rsid w:val="00487624"/>
    <w:rsid w:val="004878EA"/>
    <w:rsid w:val="00490491"/>
    <w:rsid w:val="00490FBE"/>
    <w:rsid w:val="0049125A"/>
    <w:rsid w:val="0049591C"/>
    <w:rsid w:val="00496BE4"/>
    <w:rsid w:val="004A0228"/>
    <w:rsid w:val="004A0E15"/>
    <w:rsid w:val="004A1130"/>
    <w:rsid w:val="004A141D"/>
    <w:rsid w:val="004A2446"/>
    <w:rsid w:val="004A27D0"/>
    <w:rsid w:val="004A3239"/>
    <w:rsid w:val="004A36FF"/>
    <w:rsid w:val="004A42B5"/>
    <w:rsid w:val="004A4A37"/>
    <w:rsid w:val="004A4D62"/>
    <w:rsid w:val="004B11B2"/>
    <w:rsid w:val="004B35EB"/>
    <w:rsid w:val="004B43EC"/>
    <w:rsid w:val="004B4E2E"/>
    <w:rsid w:val="004B5553"/>
    <w:rsid w:val="004B6997"/>
    <w:rsid w:val="004B6F8E"/>
    <w:rsid w:val="004C0069"/>
    <w:rsid w:val="004C17C8"/>
    <w:rsid w:val="004C215E"/>
    <w:rsid w:val="004C28F7"/>
    <w:rsid w:val="004C2C8F"/>
    <w:rsid w:val="004C3737"/>
    <w:rsid w:val="004C3F6A"/>
    <w:rsid w:val="004C5556"/>
    <w:rsid w:val="004C66D3"/>
    <w:rsid w:val="004C6955"/>
    <w:rsid w:val="004D11B7"/>
    <w:rsid w:val="004D1978"/>
    <w:rsid w:val="004D2141"/>
    <w:rsid w:val="004D4765"/>
    <w:rsid w:val="004D548D"/>
    <w:rsid w:val="004D5E71"/>
    <w:rsid w:val="004D61D9"/>
    <w:rsid w:val="004D687E"/>
    <w:rsid w:val="004D6B71"/>
    <w:rsid w:val="004D7A6F"/>
    <w:rsid w:val="004E064D"/>
    <w:rsid w:val="004E1B15"/>
    <w:rsid w:val="004E2E82"/>
    <w:rsid w:val="004E33B9"/>
    <w:rsid w:val="004E3BA2"/>
    <w:rsid w:val="004E5298"/>
    <w:rsid w:val="004E6FB0"/>
    <w:rsid w:val="004F2DFA"/>
    <w:rsid w:val="004F48FB"/>
    <w:rsid w:val="004F4DAC"/>
    <w:rsid w:val="004F537C"/>
    <w:rsid w:val="004F5DAB"/>
    <w:rsid w:val="004F6747"/>
    <w:rsid w:val="004F754A"/>
    <w:rsid w:val="00501D43"/>
    <w:rsid w:val="00502DD7"/>
    <w:rsid w:val="00503BA5"/>
    <w:rsid w:val="00505354"/>
    <w:rsid w:val="00511310"/>
    <w:rsid w:val="005113A5"/>
    <w:rsid w:val="00512841"/>
    <w:rsid w:val="00512FB7"/>
    <w:rsid w:val="00513518"/>
    <w:rsid w:val="00513966"/>
    <w:rsid w:val="00514529"/>
    <w:rsid w:val="00514D55"/>
    <w:rsid w:val="00515E82"/>
    <w:rsid w:val="00516017"/>
    <w:rsid w:val="00516142"/>
    <w:rsid w:val="00516647"/>
    <w:rsid w:val="00516893"/>
    <w:rsid w:val="005170E1"/>
    <w:rsid w:val="00521A74"/>
    <w:rsid w:val="00522795"/>
    <w:rsid w:val="00524821"/>
    <w:rsid w:val="005261DD"/>
    <w:rsid w:val="00527296"/>
    <w:rsid w:val="00527B9D"/>
    <w:rsid w:val="00530EE8"/>
    <w:rsid w:val="00532B79"/>
    <w:rsid w:val="00534537"/>
    <w:rsid w:val="00534A78"/>
    <w:rsid w:val="00536057"/>
    <w:rsid w:val="00536BAA"/>
    <w:rsid w:val="005370E4"/>
    <w:rsid w:val="00540A51"/>
    <w:rsid w:val="00540D49"/>
    <w:rsid w:val="005413D8"/>
    <w:rsid w:val="00542003"/>
    <w:rsid w:val="00543DA7"/>
    <w:rsid w:val="00544D44"/>
    <w:rsid w:val="00544FEB"/>
    <w:rsid w:val="0054650B"/>
    <w:rsid w:val="00547BC2"/>
    <w:rsid w:val="00550857"/>
    <w:rsid w:val="00550D93"/>
    <w:rsid w:val="005513B7"/>
    <w:rsid w:val="00552D07"/>
    <w:rsid w:val="005538AB"/>
    <w:rsid w:val="00553ED8"/>
    <w:rsid w:val="00554736"/>
    <w:rsid w:val="005552B7"/>
    <w:rsid w:val="00556E9A"/>
    <w:rsid w:val="00560094"/>
    <w:rsid w:val="005616D3"/>
    <w:rsid w:val="005626A2"/>
    <w:rsid w:val="005629ED"/>
    <w:rsid w:val="0056526D"/>
    <w:rsid w:val="00566544"/>
    <w:rsid w:val="005670D9"/>
    <w:rsid w:val="005671A1"/>
    <w:rsid w:val="00567E71"/>
    <w:rsid w:val="00567FF4"/>
    <w:rsid w:val="00570836"/>
    <w:rsid w:val="00570E82"/>
    <w:rsid w:val="005718EB"/>
    <w:rsid w:val="0057325D"/>
    <w:rsid w:val="005735CE"/>
    <w:rsid w:val="005743AF"/>
    <w:rsid w:val="005743E3"/>
    <w:rsid w:val="0057592C"/>
    <w:rsid w:val="0057755C"/>
    <w:rsid w:val="00582341"/>
    <w:rsid w:val="00582DB5"/>
    <w:rsid w:val="00583CEA"/>
    <w:rsid w:val="0058420A"/>
    <w:rsid w:val="0058687C"/>
    <w:rsid w:val="0059122B"/>
    <w:rsid w:val="00592BA4"/>
    <w:rsid w:val="0059639B"/>
    <w:rsid w:val="00596630"/>
    <w:rsid w:val="0059707B"/>
    <w:rsid w:val="005A059D"/>
    <w:rsid w:val="005A1799"/>
    <w:rsid w:val="005A179F"/>
    <w:rsid w:val="005A3035"/>
    <w:rsid w:val="005A39C4"/>
    <w:rsid w:val="005A4EE4"/>
    <w:rsid w:val="005A6124"/>
    <w:rsid w:val="005A708C"/>
    <w:rsid w:val="005A76ED"/>
    <w:rsid w:val="005A7BB7"/>
    <w:rsid w:val="005B122A"/>
    <w:rsid w:val="005B1FB7"/>
    <w:rsid w:val="005B2EA3"/>
    <w:rsid w:val="005B3C03"/>
    <w:rsid w:val="005B7347"/>
    <w:rsid w:val="005B7553"/>
    <w:rsid w:val="005C0A8C"/>
    <w:rsid w:val="005C4339"/>
    <w:rsid w:val="005C55C2"/>
    <w:rsid w:val="005D008B"/>
    <w:rsid w:val="005D22B6"/>
    <w:rsid w:val="005D3592"/>
    <w:rsid w:val="005D6165"/>
    <w:rsid w:val="005E0C7B"/>
    <w:rsid w:val="005E2478"/>
    <w:rsid w:val="005E27BC"/>
    <w:rsid w:val="005E4BE5"/>
    <w:rsid w:val="005E5658"/>
    <w:rsid w:val="005E5D8C"/>
    <w:rsid w:val="005E661E"/>
    <w:rsid w:val="005E71F8"/>
    <w:rsid w:val="005E7771"/>
    <w:rsid w:val="005F0672"/>
    <w:rsid w:val="005F2C24"/>
    <w:rsid w:val="005F4FF9"/>
    <w:rsid w:val="005F5FDA"/>
    <w:rsid w:val="005F7E69"/>
    <w:rsid w:val="00601985"/>
    <w:rsid w:val="00601F48"/>
    <w:rsid w:val="006025F0"/>
    <w:rsid w:val="00602D43"/>
    <w:rsid w:val="00602FE0"/>
    <w:rsid w:val="006049D3"/>
    <w:rsid w:val="00610233"/>
    <w:rsid w:val="00610555"/>
    <w:rsid w:val="0061233D"/>
    <w:rsid w:val="006127CC"/>
    <w:rsid w:val="00613AE4"/>
    <w:rsid w:val="00613C16"/>
    <w:rsid w:val="00614D7D"/>
    <w:rsid w:val="00614DF8"/>
    <w:rsid w:val="00615320"/>
    <w:rsid w:val="006218F0"/>
    <w:rsid w:val="006228E6"/>
    <w:rsid w:val="0062324B"/>
    <w:rsid w:val="00623B3D"/>
    <w:rsid w:val="00624C49"/>
    <w:rsid w:val="006250FB"/>
    <w:rsid w:val="006253FA"/>
    <w:rsid w:val="006263CD"/>
    <w:rsid w:val="00631602"/>
    <w:rsid w:val="00633BEC"/>
    <w:rsid w:val="00633C6D"/>
    <w:rsid w:val="00634F2D"/>
    <w:rsid w:val="006356D2"/>
    <w:rsid w:val="0063760E"/>
    <w:rsid w:val="00637ED7"/>
    <w:rsid w:val="00641AE9"/>
    <w:rsid w:val="00642F6F"/>
    <w:rsid w:val="006433E6"/>
    <w:rsid w:val="00643B2A"/>
    <w:rsid w:val="00644FE8"/>
    <w:rsid w:val="0064535D"/>
    <w:rsid w:val="00646E12"/>
    <w:rsid w:val="006471C8"/>
    <w:rsid w:val="006505A7"/>
    <w:rsid w:val="006516F8"/>
    <w:rsid w:val="00651C72"/>
    <w:rsid w:val="006521F6"/>
    <w:rsid w:val="006531FE"/>
    <w:rsid w:val="00653AF4"/>
    <w:rsid w:val="00654D25"/>
    <w:rsid w:val="006570C4"/>
    <w:rsid w:val="006571DB"/>
    <w:rsid w:val="00657AD1"/>
    <w:rsid w:val="0066141C"/>
    <w:rsid w:val="006614B8"/>
    <w:rsid w:val="006632BE"/>
    <w:rsid w:val="00664B01"/>
    <w:rsid w:val="006651AD"/>
    <w:rsid w:val="006651FC"/>
    <w:rsid w:val="00667C30"/>
    <w:rsid w:val="00673061"/>
    <w:rsid w:val="006749D7"/>
    <w:rsid w:val="006750D0"/>
    <w:rsid w:val="00675614"/>
    <w:rsid w:val="006778C1"/>
    <w:rsid w:val="00677E52"/>
    <w:rsid w:val="0068307C"/>
    <w:rsid w:val="006836E2"/>
    <w:rsid w:val="006856E8"/>
    <w:rsid w:val="00695CA8"/>
    <w:rsid w:val="00697213"/>
    <w:rsid w:val="00697D76"/>
    <w:rsid w:val="006A1E3E"/>
    <w:rsid w:val="006A2421"/>
    <w:rsid w:val="006A351B"/>
    <w:rsid w:val="006A3F98"/>
    <w:rsid w:val="006A44B7"/>
    <w:rsid w:val="006A4973"/>
    <w:rsid w:val="006A7BA6"/>
    <w:rsid w:val="006A7FF3"/>
    <w:rsid w:val="006B0315"/>
    <w:rsid w:val="006B04FE"/>
    <w:rsid w:val="006B1BC4"/>
    <w:rsid w:val="006B32B9"/>
    <w:rsid w:val="006B3B35"/>
    <w:rsid w:val="006B4531"/>
    <w:rsid w:val="006B59AF"/>
    <w:rsid w:val="006B67E2"/>
    <w:rsid w:val="006B6C2B"/>
    <w:rsid w:val="006B7E87"/>
    <w:rsid w:val="006C0469"/>
    <w:rsid w:val="006C14D5"/>
    <w:rsid w:val="006C480E"/>
    <w:rsid w:val="006C5BB9"/>
    <w:rsid w:val="006C66D1"/>
    <w:rsid w:val="006D0740"/>
    <w:rsid w:val="006D096A"/>
    <w:rsid w:val="006D0DD7"/>
    <w:rsid w:val="006D0F83"/>
    <w:rsid w:val="006D1E73"/>
    <w:rsid w:val="006D200B"/>
    <w:rsid w:val="006D2935"/>
    <w:rsid w:val="006D3A74"/>
    <w:rsid w:val="006D4837"/>
    <w:rsid w:val="006D6BFD"/>
    <w:rsid w:val="006D6E84"/>
    <w:rsid w:val="006E0C88"/>
    <w:rsid w:val="006E16D9"/>
    <w:rsid w:val="006E1F3E"/>
    <w:rsid w:val="006E25F4"/>
    <w:rsid w:val="006E4647"/>
    <w:rsid w:val="006E4B79"/>
    <w:rsid w:val="006E5079"/>
    <w:rsid w:val="006E5E5B"/>
    <w:rsid w:val="006E6626"/>
    <w:rsid w:val="006E6F1B"/>
    <w:rsid w:val="006E7BB1"/>
    <w:rsid w:val="006F01BA"/>
    <w:rsid w:val="006F115F"/>
    <w:rsid w:val="006F2F6A"/>
    <w:rsid w:val="006F74BB"/>
    <w:rsid w:val="006F79F1"/>
    <w:rsid w:val="007026C5"/>
    <w:rsid w:val="007042EC"/>
    <w:rsid w:val="007048F9"/>
    <w:rsid w:val="0070495F"/>
    <w:rsid w:val="0070594E"/>
    <w:rsid w:val="00705FAF"/>
    <w:rsid w:val="00710DD3"/>
    <w:rsid w:val="0071128F"/>
    <w:rsid w:val="0071163E"/>
    <w:rsid w:val="007135ED"/>
    <w:rsid w:val="00713895"/>
    <w:rsid w:val="007141EB"/>
    <w:rsid w:val="00714DEB"/>
    <w:rsid w:val="00715B41"/>
    <w:rsid w:val="00720F68"/>
    <w:rsid w:val="007210D1"/>
    <w:rsid w:val="00721C7A"/>
    <w:rsid w:val="007238B8"/>
    <w:rsid w:val="0072460E"/>
    <w:rsid w:val="0072506F"/>
    <w:rsid w:val="00726F51"/>
    <w:rsid w:val="0072798C"/>
    <w:rsid w:val="00727D0D"/>
    <w:rsid w:val="00727F87"/>
    <w:rsid w:val="007304DD"/>
    <w:rsid w:val="0073496D"/>
    <w:rsid w:val="00734FA1"/>
    <w:rsid w:val="0073538D"/>
    <w:rsid w:val="00737C4B"/>
    <w:rsid w:val="00741407"/>
    <w:rsid w:val="0074192E"/>
    <w:rsid w:val="0074603A"/>
    <w:rsid w:val="0074798A"/>
    <w:rsid w:val="0075069C"/>
    <w:rsid w:val="00750CFE"/>
    <w:rsid w:val="00751E0E"/>
    <w:rsid w:val="0075528A"/>
    <w:rsid w:val="007565FB"/>
    <w:rsid w:val="00756CF0"/>
    <w:rsid w:val="00756DAD"/>
    <w:rsid w:val="00761639"/>
    <w:rsid w:val="007619B5"/>
    <w:rsid w:val="007624B1"/>
    <w:rsid w:val="00763CE3"/>
    <w:rsid w:val="00763D40"/>
    <w:rsid w:val="007643C2"/>
    <w:rsid w:val="00764DCC"/>
    <w:rsid w:val="00766AC8"/>
    <w:rsid w:val="00766BD8"/>
    <w:rsid w:val="00766E47"/>
    <w:rsid w:val="007731BE"/>
    <w:rsid w:val="00774D4F"/>
    <w:rsid w:val="0077558D"/>
    <w:rsid w:val="00775885"/>
    <w:rsid w:val="00776CFE"/>
    <w:rsid w:val="00777386"/>
    <w:rsid w:val="00780583"/>
    <w:rsid w:val="00782661"/>
    <w:rsid w:val="00782D15"/>
    <w:rsid w:val="00783172"/>
    <w:rsid w:val="0078397A"/>
    <w:rsid w:val="00783BF7"/>
    <w:rsid w:val="00784291"/>
    <w:rsid w:val="00785393"/>
    <w:rsid w:val="00786A01"/>
    <w:rsid w:val="00787960"/>
    <w:rsid w:val="00790FD4"/>
    <w:rsid w:val="00791CED"/>
    <w:rsid w:val="00793D4E"/>
    <w:rsid w:val="00794D79"/>
    <w:rsid w:val="00796197"/>
    <w:rsid w:val="007A34F8"/>
    <w:rsid w:val="007A38D4"/>
    <w:rsid w:val="007A7107"/>
    <w:rsid w:val="007B1A53"/>
    <w:rsid w:val="007B2AA4"/>
    <w:rsid w:val="007B4F23"/>
    <w:rsid w:val="007B54FD"/>
    <w:rsid w:val="007B7EE5"/>
    <w:rsid w:val="007C209D"/>
    <w:rsid w:val="007C3257"/>
    <w:rsid w:val="007C3363"/>
    <w:rsid w:val="007C5F8B"/>
    <w:rsid w:val="007C6664"/>
    <w:rsid w:val="007C6C91"/>
    <w:rsid w:val="007D112B"/>
    <w:rsid w:val="007D170B"/>
    <w:rsid w:val="007D1934"/>
    <w:rsid w:val="007D261A"/>
    <w:rsid w:val="007D30C5"/>
    <w:rsid w:val="007D4961"/>
    <w:rsid w:val="007D4AC4"/>
    <w:rsid w:val="007D6E70"/>
    <w:rsid w:val="007D7B36"/>
    <w:rsid w:val="007E04EC"/>
    <w:rsid w:val="007E0732"/>
    <w:rsid w:val="007E1C8A"/>
    <w:rsid w:val="007E5938"/>
    <w:rsid w:val="007E63DF"/>
    <w:rsid w:val="007E6979"/>
    <w:rsid w:val="007E7937"/>
    <w:rsid w:val="007F2C49"/>
    <w:rsid w:val="007F2CE4"/>
    <w:rsid w:val="007F3002"/>
    <w:rsid w:val="007F4E20"/>
    <w:rsid w:val="007F5423"/>
    <w:rsid w:val="007F73C7"/>
    <w:rsid w:val="008003C6"/>
    <w:rsid w:val="00800984"/>
    <w:rsid w:val="0080302C"/>
    <w:rsid w:val="00804405"/>
    <w:rsid w:val="00804E7E"/>
    <w:rsid w:val="00806DA1"/>
    <w:rsid w:val="00807084"/>
    <w:rsid w:val="00807AB5"/>
    <w:rsid w:val="008101C8"/>
    <w:rsid w:val="00811484"/>
    <w:rsid w:val="0081166E"/>
    <w:rsid w:val="008119F3"/>
    <w:rsid w:val="008122BD"/>
    <w:rsid w:val="00812A99"/>
    <w:rsid w:val="00813452"/>
    <w:rsid w:val="00813D51"/>
    <w:rsid w:val="00815B96"/>
    <w:rsid w:val="008166C2"/>
    <w:rsid w:val="00817892"/>
    <w:rsid w:val="00817899"/>
    <w:rsid w:val="00820063"/>
    <w:rsid w:val="00820081"/>
    <w:rsid w:val="008204BC"/>
    <w:rsid w:val="00820A11"/>
    <w:rsid w:val="00822099"/>
    <w:rsid w:val="0082235D"/>
    <w:rsid w:val="00825845"/>
    <w:rsid w:val="00825D96"/>
    <w:rsid w:val="0083256E"/>
    <w:rsid w:val="00836CE4"/>
    <w:rsid w:val="00836F4E"/>
    <w:rsid w:val="008370B4"/>
    <w:rsid w:val="0083794D"/>
    <w:rsid w:val="008421D5"/>
    <w:rsid w:val="00843965"/>
    <w:rsid w:val="00850A5B"/>
    <w:rsid w:val="00851105"/>
    <w:rsid w:val="00852208"/>
    <w:rsid w:val="00852488"/>
    <w:rsid w:val="00856010"/>
    <w:rsid w:val="008567AC"/>
    <w:rsid w:val="00857CFD"/>
    <w:rsid w:val="00860C6C"/>
    <w:rsid w:val="00861B7F"/>
    <w:rsid w:val="0086324F"/>
    <w:rsid w:val="008639AE"/>
    <w:rsid w:val="00864DBF"/>
    <w:rsid w:val="00865713"/>
    <w:rsid w:val="008663C1"/>
    <w:rsid w:val="008715B5"/>
    <w:rsid w:val="0087339D"/>
    <w:rsid w:val="0087438E"/>
    <w:rsid w:val="00876B6E"/>
    <w:rsid w:val="008804D4"/>
    <w:rsid w:val="00885751"/>
    <w:rsid w:val="00892191"/>
    <w:rsid w:val="00892EB8"/>
    <w:rsid w:val="00894F2A"/>
    <w:rsid w:val="008979BD"/>
    <w:rsid w:val="008A0533"/>
    <w:rsid w:val="008A51B4"/>
    <w:rsid w:val="008A6F9C"/>
    <w:rsid w:val="008B0C33"/>
    <w:rsid w:val="008B19CE"/>
    <w:rsid w:val="008B2B25"/>
    <w:rsid w:val="008B4058"/>
    <w:rsid w:val="008B580D"/>
    <w:rsid w:val="008B58D4"/>
    <w:rsid w:val="008B687F"/>
    <w:rsid w:val="008B69E5"/>
    <w:rsid w:val="008B7DBF"/>
    <w:rsid w:val="008C0597"/>
    <w:rsid w:val="008C0BAD"/>
    <w:rsid w:val="008C20D1"/>
    <w:rsid w:val="008C5503"/>
    <w:rsid w:val="008D0D0C"/>
    <w:rsid w:val="008D3A74"/>
    <w:rsid w:val="008D5BD1"/>
    <w:rsid w:val="008D64DD"/>
    <w:rsid w:val="008E0677"/>
    <w:rsid w:val="008E2196"/>
    <w:rsid w:val="008E3D6B"/>
    <w:rsid w:val="008E4A45"/>
    <w:rsid w:val="008E5939"/>
    <w:rsid w:val="008E5952"/>
    <w:rsid w:val="008E7ED3"/>
    <w:rsid w:val="008F0472"/>
    <w:rsid w:val="008F5D2C"/>
    <w:rsid w:val="008F5D46"/>
    <w:rsid w:val="008F752B"/>
    <w:rsid w:val="008F76EA"/>
    <w:rsid w:val="0090072F"/>
    <w:rsid w:val="00900BA5"/>
    <w:rsid w:val="009020A4"/>
    <w:rsid w:val="0090212C"/>
    <w:rsid w:val="00902CB7"/>
    <w:rsid w:val="00902FF4"/>
    <w:rsid w:val="00903B03"/>
    <w:rsid w:val="00904208"/>
    <w:rsid w:val="00904D22"/>
    <w:rsid w:val="00904FDA"/>
    <w:rsid w:val="00905CE9"/>
    <w:rsid w:val="00906A22"/>
    <w:rsid w:val="009073F6"/>
    <w:rsid w:val="00910971"/>
    <w:rsid w:val="00911EC6"/>
    <w:rsid w:val="00914776"/>
    <w:rsid w:val="009152D4"/>
    <w:rsid w:val="00917AD5"/>
    <w:rsid w:val="00917C06"/>
    <w:rsid w:val="00920003"/>
    <w:rsid w:val="009220A4"/>
    <w:rsid w:val="0092287C"/>
    <w:rsid w:val="00922FA9"/>
    <w:rsid w:val="00923556"/>
    <w:rsid w:val="0092417E"/>
    <w:rsid w:val="00925B77"/>
    <w:rsid w:val="00925FEC"/>
    <w:rsid w:val="00927C5B"/>
    <w:rsid w:val="00930609"/>
    <w:rsid w:val="00930C4A"/>
    <w:rsid w:val="00931B5A"/>
    <w:rsid w:val="00931F14"/>
    <w:rsid w:val="00932022"/>
    <w:rsid w:val="00932CB4"/>
    <w:rsid w:val="00933218"/>
    <w:rsid w:val="0093379B"/>
    <w:rsid w:val="00933BCB"/>
    <w:rsid w:val="00934991"/>
    <w:rsid w:val="00940373"/>
    <w:rsid w:val="00940AA8"/>
    <w:rsid w:val="00943F49"/>
    <w:rsid w:val="009449C3"/>
    <w:rsid w:val="00944DAB"/>
    <w:rsid w:val="00945921"/>
    <w:rsid w:val="00950B3E"/>
    <w:rsid w:val="00950F99"/>
    <w:rsid w:val="00951466"/>
    <w:rsid w:val="009522D7"/>
    <w:rsid w:val="00953B36"/>
    <w:rsid w:val="009549E5"/>
    <w:rsid w:val="0095566B"/>
    <w:rsid w:val="009567F6"/>
    <w:rsid w:val="009621F1"/>
    <w:rsid w:val="00963B62"/>
    <w:rsid w:val="009650E0"/>
    <w:rsid w:val="00965260"/>
    <w:rsid w:val="00966CD3"/>
    <w:rsid w:val="00967644"/>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5798"/>
    <w:rsid w:val="009977A6"/>
    <w:rsid w:val="00997F3E"/>
    <w:rsid w:val="009A0599"/>
    <w:rsid w:val="009A1E28"/>
    <w:rsid w:val="009A1FDE"/>
    <w:rsid w:val="009A2210"/>
    <w:rsid w:val="009A2D56"/>
    <w:rsid w:val="009A439E"/>
    <w:rsid w:val="009A52BE"/>
    <w:rsid w:val="009A595F"/>
    <w:rsid w:val="009A5E20"/>
    <w:rsid w:val="009A710B"/>
    <w:rsid w:val="009A7307"/>
    <w:rsid w:val="009B206D"/>
    <w:rsid w:val="009B27AC"/>
    <w:rsid w:val="009B2F8C"/>
    <w:rsid w:val="009B346E"/>
    <w:rsid w:val="009B404A"/>
    <w:rsid w:val="009B56EE"/>
    <w:rsid w:val="009B58B2"/>
    <w:rsid w:val="009C002E"/>
    <w:rsid w:val="009C392A"/>
    <w:rsid w:val="009C3E4B"/>
    <w:rsid w:val="009C5797"/>
    <w:rsid w:val="009C7563"/>
    <w:rsid w:val="009C77C1"/>
    <w:rsid w:val="009C7E9D"/>
    <w:rsid w:val="009D0B97"/>
    <w:rsid w:val="009D69FF"/>
    <w:rsid w:val="009D6BFE"/>
    <w:rsid w:val="009E0923"/>
    <w:rsid w:val="009E202F"/>
    <w:rsid w:val="009E2F0F"/>
    <w:rsid w:val="009E3EBD"/>
    <w:rsid w:val="009E413A"/>
    <w:rsid w:val="009E44E8"/>
    <w:rsid w:val="009E4AD9"/>
    <w:rsid w:val="009E543A"/>
    <w:rsid w:val="009E5A8D"/>
    <w:rsid w:val="009E5BC9"/>
    <w:rsid w:val="009E61C2"/>
    <w:rsid w:val="009E6459"/>
    <w:rsid w:val="009E7818"/>
    <w:rsid w:val="009F44C4"/>
    <w:rsid w:val="009F459F"/>
    <w:rsid w:val="009F466A"/>
    <w:rsid w:val="009F5016"/>
    <w:rsid w:val="00A000FD"/>
    <w:rsid w:val="00A01918"/>
    <w:rsid w:val="00A03A49"/>
    <w:rsid w:val="00A04228"/>
    <w:rsid w:val="00A04A60"/>
    <w:rsid w:val="00A058DA"/>
    <w:rsid w:val="00A05AEE"/>
    <w:rsid w:val="00A1231E"/>
    <w:rsid w:val="00A1339D"/>
    <w:rsid w:val="00A15C57"/>
    <w:rsid w:val="00A175B2"/>
    <w:rsid w:val="00A205F6"/>
    <w:rsid w:val="00A20F3A"/>
    <w:rsid w:val="00A2113B"/>
    <w:rsid w:val="00A22B8D"/>
    <w:rsid w:val="00A24650"/>
    <w:rsid w:val="00A24754"/>
    <w:rsid w:val="00A24CD3"/>
    <w:rsid w:val="00A25A93"/>
    <w:rsid w:val="00A307BF"/>
    <w:rsid w:val="00A3085A"/>
    <w:rsid w:val="00A31B33"/>
    <w:rsid w:val="00A31C5E"/>
    <w:rsid w:val="00A32555"/>
    <w:rsid w:val="00A3327B"/>
    <w:rsid w:val="00A35925"/>
    <w:rsid w:val="00A363F1"/>
    <w:rsid w:val="00A365C7"/>
    <w:rsid w:val="00A40021"/>
    <w:rsid w:val="00A4053B"/>
    <w:rsid w:val="00A41970"/>
    <w:rsid w:val="00A43797"/>
    <w:rsid w:val="00A43C34"/>
    <w:rsid w:val="00A43DF8"/>
    <w:rsid w:val="00A44348"/>
    <w:rsid w:val="00A4503B"/>
    <w:rsid w:val="00A507AE"/>
    <w:rsid w:val="00A50EFF"/>
    <w:rsid w:val="00A520CD"/>
    <w:rsid w:val="00A523E3"/>
    <w:rsid w:val="00A53D2E"/>
    <w:rsid w:val="00A56281"/>
    <w:rsid w:val="00A601D3"/>
    <w:rsid w:val="00A601FC"/>
    <w:rsid w:val="00A60FA0"/>
    <w:rsid w:val="00A6202F"/>
    <w:rsid w:val="00A63A95"/>
    <w:rsid w:val="00A64700"/>
    <w:rsid w:val="00A65365"/>
    <w:rsid w:val="00A66C9D"/>
    <w:rsid w:val="00A67D07"/>
    <w:rsid w:val="00A7144F"/>
    <w:rsid w:val="00A714A0"/>
    <w:rsid w:val="00A72F8D"/>
    <w:rsid w:val="00A73033"/>
    <w:rsid w:val="00A7323A"/>
    <w:rsid w:val="00A73804"/>
    <w:rsid w:val="00A73C6F"/>
    <w:rsid w:val="00A765F3"/>
    <w:rsid w:val="00A8016D"/>
    <w:rsid w:val="00A80560"/>
    <w:rsid w:val="00A80956"/>
    <w:rsid w:val="00A80ACF"/>
    <w:rsid w:val="00A83A77"/>
    <w:rsid w:val="00A83EC5"/>
    <w:rsid w:val="00A861FE"/>
    <w:rsid w:val="00A8714C"/>
    <w:rsid w:val="00A90D85"/>
    <w:rsid w:val="00A91AF5"/>
    <w:rsid w:val="00A928C9"/>
    <w:rsid w:val="00A930EC"/>
    <w:rsid w:val="00A93450"/>
    <w:rsid w:val="00A94DF2"/>
    <w:rsid w:val="00A959D5"/>
    <w:rsid w:val="00A95E28"/>
    <w:rsid w:val="00A961BF"/>
    <w:rsid w:val="00A97D8D"/>
    <w:rsid w:val="00AA01C1"/>
    <w:rsid w:val="00AA3A0F"/>
    <w:rsid w:val="00AA4B84"/>
    <w:rsid w:val="00AA4EDC"/>
    <w:rsid w:val="00AA5086"/>
    <w:rsid w:val="00AA5636"/>
    <w:rsid w:val="00AA61D7"/>
    <w:rsid w:val="00AA6298"/>
    <w:rsid w:val="00AA7A1C"/>
    <w:rsid w:val="00AB0E5F"/>
    <w:rsid w:val="00AB2499"/>
    <w:rsid w:val="00AB25E0"/>
    <w:rsid w:val="00AB59A7"/>
    <w:rsid w:val="00AB620D"/>
    <w:rsid w:val="00AB766A"/>
    <w:rsid w:val="00AC15E3"/>
    <w:rsid w:val="00AC2153"/>
    <w:rsid w:val="00AC3BE3"/>
    <w:rsid w:val="00AC44AE"/>
    <w:rsid w:val="00AC4A52"/>
    <w:rsid w:val="00AC7B69"/>
    <w:rsid w:val="00AD0BF8"/>
    <w:rsid w:val="00AD0CC4"/>
    <w:rsid w:val="00AD0F78"/>
    <w:rsid w:val="00AD187B"/>
    <w:rsid w:val="00AD1E80"/>
    <w:rsid w:val="00AD3C30"/>
    <w:rsid w:val="00AD689E"/>
    <w:rsid w:val="00AD6E28"/>
    <w:rsid w:val="00AD7B43"/>
    <w:rsid w:val="00AE0045"/>
    <w:rsid w:val="00AE0EF3"/>
    <w:rsid w:val="00AE1036"/>
    <w:rsid w:val="00AE2558"/>
    <w:rsid w:val="00AE4E0C"/>
    <w:rsid w:val="00AE4F76"/>
    <w:rsid w:val="00AE5728"/>
    <w:rsid w:val="00AE5E84"/>
    <w:rsid w:val="00AE6E77"/>
    <w:rsid w:val="00AE72B7"/>
    <w:rsid w:val="00AE7563"/>
    <w:rsid w:val="00AE7AD5"/>
    <w:rsid w:val="00AE7D00"/>
    <w:rsid w:val="00AF0471"/>
    <w:rsid w:val="00AF13DB"/>
    <w:rsid w:val="00AF2DF6"/>
    <w:rsid w:val="00AF5FFC"/>
    <w:rsid w:val="00AF6714"/>
    <w:rsid w:val="00B01A20"/>
    <w:rsid w:val="00B031BD"/>
    <w:rsid w:val="00B03487"/>
    <w:rsid w:val="00B050AB"/>
    <w:rsid w:val="00B06F17"/>
    <w:rsid w:val="00B115A2"/>
    <w:rsid w:val="00B12CCC"/>
    <w:rsid w:val="00B13F28"/>
    <w:rsid w:val="00B14CBF"/>
    <w:rsid w:val="00B1528E"/>
    <w:rsid w:val="00B1590A"/>
    <w:rsid w:val="00B15E45"/>
    <w:rsid w:val="00B2035E"/>
    <w:rsid w:val="00B20628"/>
    <w:rsid w:val="00B20722"/>
    <w:rsid w:val="00B20752"/>
    <w:rsid w:val="00B21668"/>
    <w:rsid w:val="00B224F3"/>
    <w:rsid w:val="00B22FB6"/>
    <w:rsid w:val="00B236CB"/>
    <w:rsid w:val="00B23B2F"/>
    <w:rsid w:val="00B306D6"/>
    <w:rsid w:val="00B33812"/>
    <w:rsid w:val="00B359C5"/>
    <w:rsid w:val="00B36D30"/>
    <w:rsid w:val="00B409CF"/>
    <w:rsid w:val="00B40EFC"/>
    <w:rsid w:val="00B42F00"/>
    <w:rsid w:val="00B432D8"/>
    <w:rsid w:val="00B454DD"/>
    <w:rsid w:val="00B45FB2"/>
    <w:rsid w:val="00B46D8F"/>
    <w:rsid w:val="00B474EA"/>
    <w:rsid w:val="00B47A53"/>
    <w:rsid w:val="00B506D8"/>
    <w:rsid w:val="00B51625"/>
    <w:rsid w:val="00B517A6"/>
    <w:rsid w:val="00B52BE6"/>
    <w:rsid w:val="00B55BBD"/>
    <w:rsid w:val="00B600BA"/>
    <w:rsid w:val="00B6014A"/>
    <w:rsid w:val="00B6064E"/>
    <w:rsid w:val="00B61A69"/>
    <w:rsid w:val="00B63B31"/>
    <w:rsid w:val="00B65026"/>
    <w:rsid w:val="00B66044"/>
    <w:rsid w:val="00B6608F"/>
    <w:rsid w:val="00B70458"/>
    <w:rsid w:val="00B7096A"/>
    <w:rsid w:val="00B71AE0"/>
    <w:rsid w:val="00B72A70"/>
    <w:rsid w:val="00B72C7B"/>
    <w:rsid w:val="00B7300C"/>
    <w:rsid w:val="00B7303A"/>
    <w:rsid w:val="00B7378C"/>
    <w:rsid w:val="00B74B4A"/>
    <w:rsid w:val="00B7653F"/>
    <w:rsid w:val="00B7655C"/>
    <w:rsid w:val="00B7672C"/>
    <w:rsid w:val="00B772FC"/>
    <w:rsid w:val="00B82831"/>
    <w:rsid w:val="00B82B2A"/>
    <w:rsid w:val="00B8308F"/>
    <w:rsid w:val="00B8309D"/>
    <w:rsid w:val="00B85A1C"/>
    <w:rsid w:val="00B86E2A"/>
    <w:rsid w:val="00B90361"/>
    <w:rsid w:val="00B906AC"/>
    <w:rsid w:val="00B930C9"/>
    <w:rsid w:val="00B95164"/>
    <w:rsid w:val="00B96E4E"/>
    <w:rsid w:val="00BA25E0"/>
    <w:rsid w:val="00BA2A85"/>
    <w:rsid w:val="00BA54EE"/>
    <w:rsid w:val="00BB08E4"/>
    <w:rsid w:val="00BB1BFF"/>
    <w:rsid w:val="00BB2461"/>
    <w:rsid w:val="00BB7B7F"/>
    <w:rsid w:val="00BC20AA"/>
    <w:rsid w:val="00BC2821"/>
    <w:rsid w:val="00BC2CE9"/>
    <w:rsid w:val="00BC305E"/>
    <w:rsid w:val="00BC36B3"/>
    <w:rsid w:val="00BC3DCC"/>
    <w:rsid w:val="00BC4C2E"/>
    <w:rsid w:val="00BC6607"/>
    <w:rsid w:val="00BC6D6A"/>
    <w:rsid w:val="00BD035F"/>
    <w:rsid w:val="00BD33BC"/>
    <w:rsid w:val="00BD50A8"/>
    <w:rsid w:val="00BD67FA"/>
    <w:rsid w:val="00BD6B46"/>
    <w:rsid w:val="00BD7DE4"/>
    <w:rsid w:val="00BE0045"/>
    <w:rsid w:val="00BE0AFE"/>
    <w:rsid w:val="00BE1A98"/>
    <w:rsid w:val="00BE346F"/>
    <w:rsid w:val="00BE6BBA"/>
    <w:rsid w:val="00BE6E19"/>
    <w:rsid w:val="00BF26C1"/>
    <w:rsid w:val="00BF2E3D"/>
    <w:rsid w:val="00BF423F"/>
    <w:rsid w:val="00BF521D"/>
    <w:rsid w:val="00C0136B"/>
    <w:rsid w:val="00C02806"/>
    <w:rsid w:val="00C02A2A"/>
    <w:rsid w:val="00C075E2"/>
    <w:rsid w:val="00C1009F"/>
    <w:rsid w:val="00C101BF"/>
    <w:rsid w:val="00C10642"/>
    <w:rsid w:val="00C11604"/>
    <w:rsid w:val="00C11611"/>
    <w:rsid w:val="00C11F3B"/>
    <w:rsid w:val="00C125B8"/>
    <w:rsid w:val="00C128DF"/>
    <w:rsid w:val="00C149B6"/>
    <w:rsid w:val="00C154C0"/>
    <w:rsid w:val="00C16A76"/>
    <w:rsid w:val="00C20810"/>
    <w:rsid w:val="00C212D4"/>
    <w:rsid w:val="00C21496"/>
    <w:rsid w:val="00C21B14"/>
    <w:rsid w:val="00C21E8F"/>
    <w:rsid w:val="00C21EEB"/>
    <w:rsid w:val="00C22237"/>
    <w:rsid w:val="00C2346E"/>
    <w:rsid w:val="00C243D2"/>
    <w:rsid w:val="00C24C6B"/>
    <w:rsid w:val="00C25AD7"/>
    <w:rsid w:val="00C25EA7"/>
    <w:rsid w:val="00C30CB1"/>
    <w:rsid w:val="00C316EB"/>
    <w:rsid w:val="00C31C47"/>
    <w:rsid w:val="00C323FE"/>
    <w:rsid w:val="00C32759"/>
    <w:rsid w:val="00C34BB5"/>
    <w:rsid w:val="00C34CDD"/>
    <w:rsid w:val="00C3505E"/>
    <w:rsid w:val="00C35089"/>
    <w:rsid w:val="00C355D1"/>
    <w:rsid w:val="00C36C49"/>
    <w:rsid w:val="00C376CC"/>
    <w:rsid w:val="00C43F41"/>
    <w:rsid w:val="00C4672E"/>
    <w:rsid w:val="00C51109"/>
    <w:rsid w:val="00C51DC9"/>
    <w:rsid w:val="00C5246F"/>
    <w:rsid w:val="00C52843"/>
    <w:rsid w:val="00C529D3"/>
    <w:rsid w:val="00C52A1B"/>
    <w:rsid w:val="00C52D5D"/>
    <w:rsid w:val="00C554ED"/>
    <w:rsid w:val="00C56846"/>
    <w:rsid w:val="00C605C9"/>
    <w:rsid w:val="00C60C35"/>
    <w:rsid w:val="00C63CAA"/>
    <w:rsid w:val="00C71EB3"/>
    <w:rsid w:val="00C73E61"/>
    <w:rsid w:val="00C743FC"/>
    <w:rsid w:val="00C7642B"/>
    <w:rsid w:val="00C812F7"/>
    <w:rsid w:val="00C8182C"/>
    <w:rsid w:val="00C82CD7"/>
    <w:rsid w:val="00C82EC0"/>
    <w:rsid w:val="00C8345F"/>
    <w:rsid w:val="00C84BD1"/>
    <w:rsid w:val="00C85263"/>
    <w:rsid w:val="00C8633D"/>
    <w:rsid w:val="00C87130"/>
    <w:rsid w:val="00C90EEA"/>
    <w:rsid w:val="00C917E8"/>
    <w:rsid w:val="00C928C1"/>
    <w:rsid w:val="00C95EC9"/>
    <w:rsid w:val="00CA142D"/>
    <w:rsid w:val="00CA165A"/>
    <w:rsid w:val="00CA2E2A"/>
    <w:rsid w:val="00CA4536"/>
    <w:rsid w:val="00CA46D8"/>
    <w:rsid w:val="00CA6275"/>
    <w:rsid w:val="00CB0C3B"/>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79E1"/>
    <w:rsid w:val="00CC7D2E"/>
    <w:rsid w:val="00CD0040"/>
    <w:rsid w:val="00CD0DAF"/>
    <w:rsid w:val="00CD1C39"/>
    <w:rsid w:val="00CD3000"/>
    <w:rsid w:val="00CD35CE"/>
    <w:rsid w:val="00CD4132"/>
    <w:rsid w:val="00CD42C3"/>
    <w:rsid w:val="00CD4763"/>
    <w:rsid w:val="00CD5644"/>
    <w:rsid w:val="00CD5AE4"/>
    <w:rsid w:val="00CD64AB"/>
    <w:rsid w:val="00CD6B55"/>
    <w:rsid w:val="00CD6DEA"/>
    <w:rsid w:val="00CD7278"/>
    <w:rsid w:val="00CD7290"/>
    <w:rsid w:val="00CE1578"/>
    <w:rsid w:val="00CE1AF8"/>
    <w:rsid w:val="00CE2C4B"/>
    <w:rsid w:val="00CE36D9"/>
    <w:rsid w:val="00CE4BFC"/>
    <w:rsid w:val="00CE4D20"/>
    <w:rsid w:val="00CE4EDA"/>
    <w:rsid w:val="00CE72BD"/>
    <w:rsid w:val="00CF1116"/>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5E9A"/>
    <w:rsid w:val="00D06B99"/>
    <w:rsid w:val="00D072A5"/>
    <w:rsid w:val="00D10412"/>
    <w:rsid w:val="00D10573"/>
    <w:rsid w:val="00D13DE4"/>
    <w:rsid w:val="00D146BD"/>
    <w:rsid w:val="00D14BC8"/>
    <w:rsid w:val="00D14FDD"/>
    <w:rsid w:val="00D15EB5"/>
    <w:rsid w:val="00D20C22"/>
    <w:rsid w:val="00D228A6"/>
    <w:rsid w:val="00D2344A"/>
    <w:rsid w:val="00D23B93"/>
    <w:rsid w:val="00D2461A"/>
    <w:rsid w:val="00D24C21"/>
    <w:rsid w:val="00D27F3A"/>
    <w:rsid w:val="00D31792"/>
    <w:rsid w:val="00D3254D"/>
    <w:rsid w:val="00D32A7C"/>
    <w:rsid w:val="00D34163"/>
    <w:rsid w:val="00D35BBD"/>
    <w:rsid w:val="00D35D87"/>
    <w:rsid w:val="00D35E40"/>
    <w:rsid w:val="00D35E60"/>
    <w:rsid w:val="00D35EC1"/>
    <w:rsid w:val="00D361A3"/>
    <w:rsid w:val="00D41B75"/>
    <w:rsid w:val="00D41BC9"/>
    <w:rsid w:val="00D42777"/>
    <w:rsid w:val="00D42ADA"/>
    <w:rsid w:val="00D4407C"/>
    <w:rsid w:val="00D46A1F"/>
    <w:rsid w:val="00D502E8"/>
    <w:rsid w:val="00D50564"/>
    <w:rsid w:val="00D507D6"/>
    <w:rsid w:val="00D509E7"/>
    <w:rsid w:val="00D50D4F"/>
    <w:rsid w:val="00D5482D"/>
    <w:rsid w:val="00D54E31"/>
    <w:rsid w:val="00D56068"/>
    <w:rsid w:val="00D56831"/>
    <w:rsid w:val="00D57423"/>
    <w:rsid w:val="00D60513"/>
    <w:rsid w:val="00D61117"/>
    <w:rsid w:val="00D61DF2"/>
    <w:rsid w:val="00D623C2"/>
    <w:rsid w:val="00D62887"/>
    <w:rsid w:val="00D62A6A"/>
    <w:rsid w:val="00D6348C"/>
    <w:rsid w:val="00D63758"/>
    <w:rsid w:val="00D63A5E"/>
    <w:rsid w:val="00D64639"/>
    <w:rsid w:val="00D64E57"/>
    <w:rsid w:val="00D6514C"/>
    <w:rsid w:val="00D65931"/>
    <w:rsid w:val="00D661C8"/>
    <w:rsid w:val="00D67843"/>
    <w:rsid w:val="00D6795A"/>
    <w:rsid w:val="00D67E5A"/>
    <w:rsid w:val="00D73E11"/>
    <w:rsid w:val="00D74FB7"/>
    <w:rsid w:val="00D76663"/>
    <w:rsid w:val="00D8109B"/>
    <w:rsid w:val="00D810E0"/>
    <w:rsid w:val="00D81199"/>
    <w:rsid w:val="00D816C0"/>
    <w:rsid w:val="00D8361B"/>
    <w:rsid w:val="00D84386"/>
    <w:rsid w:val="00D854A2"/>
    <w:rsid w:val="00D856EA"/>
    <w:rsid w:val="00D85949"/>
    <w:rsid w:val="00D86D1A"/>
    <w:rsid w:val="00D90396"/>
    <w:rsid w:val="00D94DE8"/>
    <w:rsid w:val="00D95A5C"/>
    <w:rsid w:val="00D96B97"/>
    <w:rsid w:val="00D96D26"/>
    <w:rsid w:val="00D973A4"/>
    <w:rsid w:val="00D973DB"/>
    <w:rsid w:val="00DA151A"/>
    <w:rsid w:val="00DA1833"/>
    <w:rsid w:val="00DA32F8"/>
    <w:rsid w:val="00DA5D18"/>
    <w:rsid w:val="00DA60DB"/>
    <w:rsid w:val="00DA695A"/>
    <w:rsid w:val="00DA6DDC"/>
    <w:rsid w:val="00DA71E4"/>
    <w:rsid w:val="00DA764C"/>
    <w:rsid w:val="00DA7FD1"/>
    <w:rsid w:val="00DB2BB6"/>
    <w:rsid w:val="00DB3E79"/>
    <w:rsid w:val="00DB45F6"/>
    <w:rsid w:val="00DB4B2B"/>
    <w:rsid w:val="00DB6B9E"/>
    <w:rsid w:val="00DB7261"/>
    <w:rsid w:val="00DC1289"/>
    <w:rsid w:val="00DC1A25"/>
    <w:rsid w:val="00DC42CD"/>
    <w:rsid w:val="00DC49E6"/>
    <w:rsid w:val="00DC75BD"/>
    <w:rsid w:val="00DD2C33"/>
    <w:rsid w:val="00DD35EC"/>
    <w:rsid w:val="00DD6C75"/>
    <w:rsid w:val="00DD714F"/>
    <w:rsid w:val="00DD762D"/>
    <w:rsid w:val="00DE0BC8"/>
    <w:rsid w:val="00DE0DE9"/>
    <w:rsid w:val="00DE3777"/>
    <w:rsid w:val="00DE3FC3"/>
    <w:rsid w:val="00DE539F"/>
    <w:rsid w:val="00DE5A7D"/>
    <w:rsid w:val="00DE5CA2"/>
    <w:rsid w:val="00DE5D23"/>
    <w:rsid w:val="00DE7A92"/>
    <w:rsid w:val="00DF01DE"/>
    <w:rsid w:val="00DF108A"/>
    <w:rsid w:val="00DF13EB"/>
    <w:rsid w:val="00DF2B11"/>
    <w:rsid w:val="00DF41E8"/>
    <w:rsid w:val="00DF4C3C"/>
    <w:rsid w:val="00DF4F1C"/>
    <w:rsid w:val="00DF525A"/>
    <w:rsid w:val="00DF594B"/>
    <w:rsid w:val="00DF6120"/>
    <w:rsid w:val="00DF6812"/>
    <w:rsid w:val="00E00FAA"/>
    <w:rsid w:val="00E01DDB"/>
    <w:rsid w:val="00E042B5"/>
    <w:rsid w:val="00E05033"/>
    <w:rsid w:val="00E0592A"/>
    <w:rsid w:val="00E065C3"/>
    <w:rsid w:val="00E0729C"/>
    <w:rsid w:val="00E10828"/>
    <w:rsid w:val="00E10B04"/>
    <w:rsid w:val="00E10B3E"/>
    <w:rsid w:val="00E118AE"/>
    <w:rsid w:val="00E13F56"/>
    <w:rsid w:val="00E14ABF"/>
    <w:rsid w:val="00E14DD7"/>
    <w:rsid w:val="00E153B7"/>
    <w:rsid w:val="00E1556A"/>
    <w:rsid w:val="00E163DD"/>
    <w:rsid w:val="00E1666F"/>
    <w:rsid w:val="00E17E93"/>
    <w:rsid w:val="00E202FB"/>
    <w:rsid w:val="00E2170E"/>
    <w:rsid w:val="00E21F4D"/>
    <w:rsid w:val="00E24F00"/>
    <w:rsid w:val="00E277BE"/>
    <w:rsid w:val="00E27EEE"/>
    <w:rsid w:val="00E30026"/>
    <w:rsid w:val="00E30DDB"/>
    <w:rsid w:val="00E32265"/>
    <w:rsid w:val="00E3406E"/>
    <w:rsid w:val="00E3430C"/>
    <w:rsid w:val="00E34345"/>
    <w:rsid w:val="00E3503A"/>
    <w:rsid w:val="00E35570"/>
    <w:rsid w:val="00E356E8"/>
    <w:rsid w:val="00E35976"/>
    <w:rsid w:val="00E35CF1"/>
    <w:rsid w:val="00E41269"/>
    <w:rsid w:val="00E4187D"/>
    <w:rsid w:val="00E43870"/>
    <w:rsid w:val="00E442AB"/>
    <w:rsid w:val="00E46BAB"/>
    <w:rsid w:val="00E46C7A"/>
    <w:rsid w:val="00E47424"/>
    <w:rsid w:val="00E47602"/>
    <w:rsid w:val="00E47B35"/>
    <w:rsid w:val="00E5176A"/>
    <w:rsid w:val="00E51A3B"/>
    <w:rsid w:val="00E52243"/>
    <w:rsid w:val="00E5254C"/>
    <w:rsid w:val="00E525A8"/>
    <w:rsid w:val="00E537C1"/>
    <w:rsid w:val="00E55678"/>
    <w:rsid w:val="00E567F9"/>
    <w:rsid w:val="00E572BC"/>
    <w:rsid w:val="00E60221"/>
    <w:rsid w:val="00E605F1"/>
    <w:rsid w:val="00E611EB"/>
    <w:rsid w:val="00E6193B"/>
    <w:rsid w:val="00E61A31"/>
    <w:rsid w:val="00E61B59"/>
    <w:rsid w:val="00E63277"/>
    <w:rsid w:val="00E6381F"/>
    <w:rsid w:val="00E6495C"/>
    <w:rsid w:val="00E65DB5"/>
    <w:rsid w:val="00E702F8"/>
    <w:rsid w:val="00E70338"/>
    <w:rsid w:val="00E70B9F"/>
    <w:rsid w:val="00E73B57"/>
    <w:rsid w:val="00E73D0F"/>
    <w:rsid w:val="00E74843"/>
    <w:rsid w:val="00E750BB"/>
    <w:rsid w:val="00E8168D"/>
    <w:rsid w:val="00E816BC"/>
    <w:rsid w:val="00E85C53"/>
    <w:rsid w:val="00E86A20"/>
    <w:rsid w:val="00E94BF8"/>
    <w:rsid w:val="00E95CE8"/>
    <w:rsid w:val="00E96AE2"/>
    <w:rsid w:val="00E96ECC"/>
    <w:rsid w:val="00E96EE0"/>
    <w:rsid w:val="00EA03BA"/>
    <w:rsid w:val="00EA0855"/>
    <w:rsid w:val="00EA1649"/>
    <w:rsid w:val="00EA23E9"/>
    <w:rsid w:val="00EA37D5"/>
    <w:rsid w:val="00EA73E0"/>
    <w:rsid w:val="00EB0B0F"/>
    <w:rsid w:val="00EB1037"/>
    <w:rsid w:val="00EB15F0"/>
    <w:rsid w:val="00EB3551"/>
    <w:rsid w:val="00EB58EE"/>
    <w:rsid w:val="00EB668D"/>
    <w:rsid w:val="00EB6E0D"/>
    <w:rsid w:val="00EB6F55"/>
    <w:rsid w:val="00EB71D4"/>
    <w:rsid w:val="00EB7429"/>
    <w:rsid w:val="00EB7F81"/>
    <w:rsid w:val="00EC02B7"/>
    <w:rsid w:val="00EC05D7"/>
    <w:rsid w:val="00EC0F1A"/>
    <w:rsid w:val="00EC1701"/>
    <w:rsid w:val="00EC4BEB"/>
    <w:rsid w:val="00EC4DC0"/>
    <w:rsid w:val="00EC64E0"/>
    <w:rsid w:val="00ED0974"/>
    <w:rsid w:val="00ED2320"/>
    <w:rsid w:val="00ED25C7"/>
    <w:rsid w:val="00ED3729"/>
    <w:rsid w:val="00ED5300"/>
    <w:rsid w:val="00ED5A71"/>
    <w:rsid w:val="00ED5F2C"/>
    <w:rsid w:val="00ED6693"/>
    <w:rsid w:val="00ED6978"/>
    <w:rsid w:val="00ED7569"/>
    <w:rsid w:val="00ED7DD3"/>
    <w:rsid w:val="00EE04DC"/>
    <w:rsid w:val="00EE0BFA"/>
    <w:rsid w:val="00EE3910"/>
    <w:rsid w:val="00EE3F8A"/>
    <w:rsid w:val="00EE43FE"/>
    <w:rsid w:val="00EE4CBC"/>
    <w:rsid w:val="00EE5784"/>
    <w:rsid w:val="00EE59D4"/>
    <w:rsid w:val="00EE645D"/>
    <w:rsid w:val="00EF0202"/>
    <w:rsid w:val="00EF0F8D"/>
    <w:rsid w:val="00EF2778"/>
    <w:rsid w:val="00EF3871"/>
    <w:rsid w:val="00EF3F72"/>
    <w:rsid w:val="00EF4B5D"/>
    <w:rsid w:val="00EF639B"/>
    <w:rsid w:val="00EF7177"/>
    <w:rsid w:val="00F01A23"/>
    <w:rsid w:val="00F027C9"/>
    <w:rsid w:val="00F0435A"/>
    <w:rsid w:val="00F04539"/>
    <w:rsid w:val="00F0497E"/>
    <w:rsid w:val="00F0541B"/>
    <w:rsid w:val="00F10BC1"/>
    <w:rsid w:val="00F11B5C"/>
    <w:rsid w:val="00F126E5"/>
    <w:rsid w:val="00F12C84"/>
    <w:rsid w:val="00F161EF"/>
    <w:rsid w:val="00F163D2"/>
    <w:rsid w:val="00F16959"/>
    <w:rsid w:val="00F16C67"/>
    <w:rsid w:val="00F210FB"/>
    <w:rsid w:val="00F2180B"/>
    <w:rsid w:val="00F2219C"/>
    <w:rsid w:val="00F30045"/>
    <w:rsid w:val="00F30A1A"/>
    <w:rsid w:val="00F30C0A"/>
    <w:rsid w:val="00F33341"/>
    <w:rsid w:val="00F339C0"/>
    <w:rsid w:val="00F33D31"/>
    <w:rsid w:val="00F356E9"/>
    <w:rsid w:val="00F359C7"/>
    <w:rsid w:val="00F3687A"/>
    <w:rsid w:val="00F369E4"/>
    <w:rsid w:val="00F40C4A"/>
    <w:rsid w:val="00F40F41"/>
    <w:rsid w:val="00F42008"/>
    <w:rsid w:val="00F42484"/>
    <w:rsid w:val="00F45FF1"/>
    <w:rsid w:val="00F460A7"/>
    <w:rsid w:val="00F47137"/>
    <w:rsid w:val="00F537A3"/>
    <w:rsid w:val="00F53CC2"/>
    <w:rsid w:val="00F551E5"/>
    <w:rsid w:val="00F559DB"/>
    <w:rsid w:val="00F5703F"/>
    <w:rsid w:val="00F57406"/>
    <w:rsid w:val="00F60239"/>
    <w:rsid w:val="00F6164D"/>
    <w:rsid w:val="00F61B46"/>
    <w:rsid w:val="00F648BC"/>
    <w:rsid w:val="00F64985"/>
    <w:rsid w:val="00F64FD1"/>
    <w:rsid w:val="00F65834"/>
    <w:rsid w:val="00F66D12"/>
    <w:rsid w:val="00F67DB0"/>
    <w:rsid w:val="00F70139"/>
    <w:rsid w:val="00F70509"/>
    <w:rsid w:val="00F707AF"/>
    <w:rsid w:val="00F72F9A"/>
    <w:rsid w:val="00F73F7C"/>
    <w:rsid w:val="00F73FB7"/>
    <w:rsid w:val="00F74769"/>
    <w:rsid w:val="00F76347"/>
    <w:rsid w:val="00F76830"/>
    <w:rsid w:val="00F80E94"/>
    <w:rsid w:val="00F80F3D"/>
    <w:rsid w:val="00F82A75"/>
    <w:rsid w:val="00F8384D"/>
    <w:rsid w:val="00F848A7"/>
    <w:rsid w:val="00F85D0A"/>
    <w:rsid w:val="00F86F94"/>
    <w:rsid w:val="00F87329"/>
    <w:rsid w:val="00F87510"/>
    <w:rsid w:val="00F91E26"/>
    <w:rsid w:val="00F92516"/>
    <w:rsid w:val="00F939EA"/>
    <w:rsid w:val="00F950CA"/>
    <w:rsid w:val="00F960CC"/>
    <w:rsid w:val="00FA4535"/>
    <w:rsid w:val="00FA542F"/>
    <w:rsid w:val="00FA6F70"/>
    <w:rsid w:val="00FA7DD5"/>
    <w:rsid w:val="00FB02F0"/>
    <w:rsid w:val="00FB060F"/>
    <w:rsid w:val="00FB0BCB"/>
    <w:rsid w:val="00FB1EFA"/>
    <w:rsid w:val="00FB1F1B"/>
    <w:rsid w:val="00FB4B72"/>
    <w:rsid w:val="00FB5523"/>
    <w:rsid w:val="00FB58FB"/>
    <w:rsid w:val="00FB780D"/>
    <w:rsid w:val="00FB7D62"/>
    <w:rsid w:val="00FC36B2"/>
    <w:rsid w:val="00FC37EA"/>
    <w:rsid w:val="00FC614B"/>
    <w:rsid w:val="00FC6EEC"/>
    <w:rsid w:val="00FD24E7"/>
    <w:rsid w:val="00FD3078"/>
    <w:rsid w:val="00FD4C78"/>
    <w:rsid w:val="00FD5D5C"/>
    <w:rsid w:val="00FD6033"/>
    <w:rsid w:val="00FE03DC"/>
    <w:rsid w:val="00FE056C"/>
    <w:rsid w:val="00FE3BDE"/>
    <w:rsid w:val="00FE53C4"/>
    <w:rsid w:val="00FE5CB7"/>
    <w:rsid w:val="00FF1B56"/>
    <w:rsid w:val="00FF1BA1"/>
    <w:rsid w:val="00FF32A4"/>
    <w:rsid w:val="00FF3B31"/>
    <w:rsid w:val="00FF519C"/>
    <w:rsid w:val="00FF5849"/>
    <w:rsid w:val="00FF593A"/>
    <w:rsid w:val="00FF6202"/>
    <w:rsid w:val="00FF6557"/>
    <w:rsid w:val="00FF65F8"/>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52"/>
    <w:pPr>
      <w:jc w:val="both"/>
    </w:pPr>
    <w:rPr>
      <w:rFonts w:asciiTheme="minorHAnsi" w:hAnsiTheme="minorHAnsi"/>
    </w:rPr>
  </w:style>
  <w:style w:type="paragraph" w:styleId="Heading1">
    <w:name w:val="heading 1"/>
    <w:basedOn w:val="Heading2"/>
    <w:next w:val="Normal"/>
    <w:link w:val="Heading1Char"/>
    <w:qFormat/>
    <w:rsid w:val="004C215E"/>
    <w:pPr>
      <w:spacing w:before="0" w:after="120"/>
      <w:jc w:val="center"/>
      <w:outlineLvl w:val="0"/>
    </w:pPr>
  </w:style>
  <w:style w:type="paragraph" w:styleId="Heading2">
    <w:name w:val="heading 2"/>
    <w:basedOn w:val="Normal"/>
    <w:next w:val="Normal"/>
    <w:link w:val="Heading2Char"/>
    <w:unhideWhenUsed/>
    <w:qFormat/>
    <w:rsid w:val="00C56846"/>
    <w:pPr>
      <w:keepNext/>
      <w:keepLines/>
      <w:spacing w:before="480" w:after="24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nhideWhenUsed/>
    <w:qFormat/>
    <w:rsid w:val="003E2066"/>
    <w:pPr>
      <w:keepNext/>
      <w:keepLines/>
      <w:spacing w:before="300" w:after="0"/>
      <w:outlineLvl w:val="2"/>
    </w:pPr>
    <w:rPr>
      <w:rFonts w:eastAsiaTheme="majorEastAsia" w:cstheme="majorBidi"/>
      <w:b/>
      <w:bCs/>
      <w:i/>
      <w:sz w:val="30"/>
    </w:rPr>
  </w:style>
  <w:style w:type="paragraph" w:styleId="Heading4">
    <w:name w:val="heading 4"/>
    <w:basedOn w:val="Normal"/>
    <w:next w:val="Normal"/>
    <w:link w:val="Heading4Char"/>
    <w:unhideWhenUsed/>
    <w:qFormat/>
    <w:rsid w:val="001960CE"/>
    <w:pPr>
      <w:keepNext/>
      <w:keepLines/>
      <w:spacing w:before="240" w:after="120"/>
      <w:jc w:val="left"/>
      <w:outlineLvl w:val="3"/>
    </w:pPr>
    <w:rPr>
      <w:rFonts w:eastAsiaTheme="majorEastAsia" w:cstheme="majorBidi"/>
      <w:b/>
      <w:bCs/>
      <w:i/>
      <w:iCs/>
    </w:rPr>
  </w:style>
  <w:style w:type="paragraph" w:styleId="Heading5">
    <w:name w:val="heading 5"/>
    <w:basedOn w:val="Normal"/>
    <w:next w:val="Normal"/>
    <w:link w:val="Heading5Char"/>
    <w:unhideWhenUsed/>
    <w:qFormat/>
    <w:rsid w:val="00532B79"/>
    <w:pPr>
      <w:keepNext/>
      <w:keepLines/>
      <w:numPr>
        <w:ilvl w:val="4"/>
        <w:numId w:val="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 3"/>
    <w:basedOn w:val="Normal"/>
    <w:next w:val="Normal"/>
    <w:link w:val="Heading9Char"/>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15E"/>
    <w:rPr>
      <w:rFonts w:asciiTheme="majorHAnsi" w:eastAsiaTheme="majorEastAsia" w:hAnsiTheme="majorHAnsi" w:cstheme="majorBidi"/>
      <w:b/>
      <w:bCs/>
      <w:color w:val="4F81BD" w:themeColor="accent1"/>
      <w:sz w:val="32"/>
      <w:szCs w:val="26"/>
    </w:rPr>
  </w:style>
  <w:style w:type="character" w:customStyle="1" w:styleId="Heading2Char">
    <w:name w:val="Heading 2 Char"/>
    <w:basedOn w:val="DefaultParagraphFont"/>
    <w:link w:val="Heading2"/>
    <w:rsid w:val="00C56846"/>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3E2066"/>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qFormat/>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nhideWhenUsed/>
    <w:rsid w:val="00FF593A"/>
    <w:rPr>
      <w:b/>
      <w:bCs/>
    </w:rPr>
  </w:style>
  <w:style w:type="character" w:customStyle="1" w:styleId="CommentSubjectChar">
    <w:name w:val="Comment Subject Char"/>
    <w:basedOn w:val="CommentTextChar"/>
    <w:link w:val="CommentSubject"/>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rsid w:val="001960CE"/>
    <w:rPr>
      <w:rFonts w:asciiTheme="minorHAnsi" w:eastAsiaTheme="majorEastAsia" w:hAnsiTheme="minorHAnsi" w:cstheme="majorBidi"/>
      <w:b/>
      <w:bCs/>
      <w:i/>
      <w:iCs/>
    </w:rPr>
  </w:style>
  <w:style w:type="character" w:customStyle="1" w:styleId="Heading5Char">
    <w:name w:val="Heading 5 Char"/>
    <w:basedOn w:val="DefaultParagraphFont"/>
    <w:link w:val="Heading5"/>
    <w:rsid w:val="00532B79"/>
    <w:rPr>
      <w:rFonts w:asciiTheme="minorHAnsi" w:eastAsiaTheme="majorEastAsia" w:hAnsiTheme="minorHAnsi" w:cstheme="majorBidi"/>
      <w:color w:val="243F60" w:themeColor="accent1" w:themeShade="7F"/>
    </w:rPr>
  </w:style>
  <w:style w:type="character" w:customStyle="1" w:styleId="Heading6Char">
    <w:name w:val="Heading 6 Char"/>
    <w:basedOn w:val="DefaultParagraphFont"/>
    <w:link w:val="Heading6"/>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3 Char"/>
    <w:basedOn w:val="DefaultParagraphFont"/>
    <w:link w:val="Heading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qFormat/>
    <w:rsid w:val="00C34CDD"/>
    <w:pPr>
      <w:spacing w:after="100"/>
    </w:pPr>
  </w:style>
  <w:style w:type="paragraph" w:styleId="TOC2">
    <w:name w:val="toc 2"/>
    <w:basedOn w:val="Normal"/>
    <w:next w:val="Normal"/>
    <w:autoRedefine/>
    <w:uiPriority w:val="39"/>
    <w:unhideWhenUsed/>
    <w:qFormat/>
    <w:rsid w:val="00C34CDD"/>
    <w:pPr>
      <w:spacing w:after="100"/>
      <w:ind w:left="240"/>
    </w:pPr>
  </w:style>
  <w:style w:type="paragraph" w:styleId="TOC3">
    <w:name w:val="toc 3"/>
    <w:basedOn w:val="Normal"/>
    <w:next w:val="Normal"/>
    <w:autoRedefine/>
    <w:uiPriority w:val="39"/>
    <w:unhideWhenUsed/>
    <w:qFormat/>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DA60DB"/>
    <w:pPr>
      <w:spacing w:before="200" w:beforeAutospacing="0" w:after="0" w:afterAutospacing="0" w:line="23" w:lineRule="atLeast"/>
    </w:pPr>
    <w:rPr>
      <w:i/>
      <w:color w:val="000000"/>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DA60DB"/>
    <w:rPr>
      <w:rFonts w:ascii="Cambria" w:eastAsia="Times New Roman" w:hAnsi="Cambria" w:cs="Times New Roman"/>
      <w:i/>
      <w:color w:val="000000"/>
      <w:szCs w:val="24"/>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082A22"/>
    <w:rPr>
      <w:rFonts w:ascii="Calibri" w:eastAsia="Times New Roman" w:hAnsi="Calibri" w:cs="Times New Roman"/>
      <w:sz w:val="20"/>
      <w:szCs w:val="20"/>
      <w:lang w:eastAsia="en-AU"/>
    </w:rPr>
  </w:style>
  <w:style w:type="character" w:styleId="FootnoteReference">
    <w:name w:val="footnote reference"/>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rsid w:val="004C215E"/>
    <w:rPr>
      <w:rFonts w:ascii="Calibri" w:eastAsia="Times New Roman" w:hAnsi="Calibri" w:cs="Times New Roman"/>
      <w:i/>
      <w:iCs/>
      <w:color w:val="000000"/>
      <w:sz w:val="22"/>
    </w:rPr>
  </w:style>
  <w:style w:type="paragraph" w:styleId="EndnoteText">
    <w:name w:val="endnote text"/>
    <w:basedOn w:val="Normal"/>
    <w:link w:val="EndnoteTextChar"/>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082A22"/>
    <w:rPr>
      <w:rFonts w:ascii="Calibri" w:eastAsia="Times New Roman" w:hAnsi="Calibri" w:cs="Times New Roman"/>
      <w:sz w:val="20"/>
      <w:szCs w:val="20"/>
      <w:lang w:eastAsia="en-AU"/>
    </w:rPr>
  </w:style>
  <w:style w:type="character" w:styleId="EndnoteReference">
    <w:name w:val="endnote reference"/>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066EA1"/>
    <w:pPr>
      <w:spacing w:before="60" w:after="40" w:line="240" w:lineRule="auto"/>
    </w:pPr>
    <w:rPr>
      <w:rFonts w:eastAsia="Times New Roman"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link w:val="TabletitleChar"/>
    <w:qFormat/>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ExSTableHeader">
    <w:name w:val="ExS Table Header"/>
    <w:basedOn w:val="BodyText"/>
    <w:link w:val="ExSTableHeaderChar"/>
    <w:qFormat/>
    <w:rsid w:val="00DE5CA2"/>
    <w:pPr>
      <w:spacing w:before="240" w:after="0"/>
    </w:pPr>
    <w:rPr>
      <w:rFonts w:eastAsia="Calibri" w:cs="Arial"/>
      <w:b/>
      <w:sz w:val="22"/>
      <w:szCs w:val="24"/>
      <w:lang w:eastAsia="en-US"/>
    </w:rPr>
  </w:style>
  <w:style w:type="character" w:customStyle="1" w:styleId="ExSTableHeaderChar">
    <w:name w:val="ExS Table Header Char"/>
    <w:basedOn w:val="BodyTextChar0"/>
    <w:link w:val="ExSTableHeader"/>
    <w:rsid w:val="00DE5CA2"/>
    <w:rPr>
      <w:rFonts w:ascii="Cambria" w:eastAsia="Calibri" w:hAnsi="Cambria" w:cs="Arial"/>
      <w:b/>
      <w:sz w:val="22"/>
      <w:szCs w:val="24"/>
      <w:lang w:eastAsia="en-US"/>
    </w:rPr>
  </w:style>
  <w:style w:type="paragraph" w:styleId="BodyText">
    <w:name w:val="Body Text"/>
    <w:basedOn w:val="Normal"/>
    <w:link w:val="BodyTextChar0"/>
    <w:unhideWhenUsed/>
    <w:rsid w:val="00DE5CA2"/>
    <w:pPr>
      <w:spacing w:after="120"/>
    </w:pPr>
  </w:style>
  <w:style w:type="character" w:customStyle="1" w:styleId="BodyTextChar0">
    <w:name w:val="Body Text Char"/>
    <w:basedOn w:val="DefaultParagraphFont"/>
    <w:link w:val="BodyText"/>
    <w:rsid w:val="00DE5CA2"/>
    <w:rPr>
      <w:rFonts w:ascii="Cambria" w:hAnsi="Cambria"/>
    </w:rPr>
  </w:style>
  <w:style w:type="paragraph" w:customStyle="1" w:styleId="Bullettext">
    <w:name w:val="Bullet text"/>
    <w:link w:val="BullettextChar"/>
    <w:qFormat/>
    <w:rsid w:val="008C0BAD"/>
    <w:pPr>
      <w:numPr>
        <w:numId w:val="7"/>
      </w:numPr>
      <w:spacing w:before="120" w:after="60" w:line="240" w:lineRule="auto"/>
      <w:contextualSpacing/>
    </w:pPr>
    <w:rPr>
      <w:rFonts w:asciiTheme="minorHAnsi" w:eastAsia="Calibri" w:hAnsiTheme="minorHAnsi" w:cs="Times New Roman"/>
      <w:szCs w:val="24"/>
      <w:lang w:eastAsia="en-US"/>
    </w:rPr>
  </w:style>
  <w:style w:type="character" w:customStyle="1" w:styleId="BullettextChar">
    <w:name w:val="Bullet text Char"/>
    <w:link w:val="Bullettext"/>
    <w:rsid w:val="008C0BAD"/>
    <w:rPr>
      <w:rFonts w:asciiTheme="minorHAnsi" w:eastAsia="Calibri" w:hAnsiTheme="minorHAnsi" w:cs="Times New Roman"/>
      <w:szCs w:val="24"/>
      <w:lang w:eastAsia="en-US"/>
    </w:rPr>
  </w:style>
  <w:style w:type="paragraph" w:customStyle="1" w:styleId="Tabletext">
    <w:name w:val="Table text"/>
    <w:basedOn w:val="Normal"/>
    <w:link w:val="TabletextChar"/>
    <w:qFormat/>
    <w:rsid w:val="00505354"/>
    <w:pPr>
      <w:autoSpaceDE w:val="0"/>
      <w:autoSpaceDN w:val="0"/>
      <w:adjustRightInd w:val="0"/>
      <w:spacing w:before="60" w:after="60" w:line="240" w:lineRule="auto"/>
      <w:jc w:val="left"/>
    </w:pPr>
    <w:rPr>
      <w:rFonts w:ascii="Arial" w:eastAsiaTheme="minorEastAsia" w:hAnsi="Arial" w:cs="Calibri"/>
      <w:sz w:val="20"/>
      <w:szCs w:val="20"/>
    </w:rPr>
  </w:style>
  <w:style w:type="character" w:customStyle="1" w:styleId="TabletextChar">
    <w:name w:val="Table text Char"/>
    <w:basedOn w:val="DefaultParagraphFont"/>
    <w:link w:val="Tabletext"/>
    <w:rsid w:val="00505354"/>
    <w:rPr>
      <w:rFonts w:ascii="Arial" w:eastAsiaTheme="minorEastAsia" w:hAnsi="Arial" w:cs="Calibri"/>
      <w:sz w:val="20"/>
      <w:szCs w:val="20"/>
    </w:rPr>
  </w:style>
  <w:style w:type="paragraph" w:customStyle="1" w:styleId="05Tabletext">
    <w:name w:val="05 Table text"/>
    <w:next w:val="06Tabletextspacebefore"/>
    <w:qFormat/>
    <w:rsid w:val="00AD689E"/>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AD689E"/>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A94DF2"/>
    <w:pPr>
      <w:keepNext/>
      <w:spacing w:before="60" w:after="40" w:line="240" w:lineRule="auto"/>
      <w:ind w:left="57" w:right="57"/>
      <w:jc w:val="left"/>
    </w:pPr>
    <w:rPr>
      <w:rFonts w:eastAsia="Calibri" w:cs="Times New Roman"/>
      <w:b/>
      <w:szCs w:val="24"/>
      <w:lang w:eastAsia="en-US"/>
    </w:rPr>
  </w:style>
  <w:style w:type="paragraph" w:customStyle="1" w:styleId="ExSFigureHeader">
    <w:name w:val="ExS Figure Header"/>
    <w:basedOn w:val="BodyText"/>
    <w:link w:val="ExSFigureHeaderChar"/>
    <w:qFormat/>
    <w:rsid w:val="00A67D07"/>
    <w:pPr>
      <w:spacing w:before="240" w:after="0"/>
    </w:pPr>
    <w:rPr>
      <w:rFonts w:eastAsia="Calibri" w:cs="Times New Roman"/>
      <w:b/>
      <w:szCs w:val="24"/>
      <w:lang w:eastAsia="en-US"/>
    </w:rPr>
  </w:style>
  <w:style w:type="character" w:customStyle="1" w:styleId="ExSFigureHeaderChar">
    <w:name w:val="ExS Figure Header Char"/>
    <w:basedOn w:val="BodyTextChar0"/>
    <w:link w:val="ExSFigureHeader"/>
    <w:rsid w:val="00A67D07"/>
    <w:rPr>
      <w:rFonts w:ascii="Cambria" w:eastAsia="Calibri" w:hAnsi="Cambria" w:cs="Times New Roman"/>
      <w:b/>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066EA1"/>
    <w:rPr>
      <w:rFonts w:asciiTheme="minorHAnsi" w:eastAsia="Times New Roman" w:hAnsiTheme="minorHAnsi" w:cs="Times New Roman"/>
      <w:b/>
      <w:bCs/>
      <w:szCs w:val="18"/>
    </w:rPr>
  </w:style>
  <w:style w:type="paragraph" w:customStyle="1" w:styleId="ToR">
    <w:name w:val="ToR"/>
    <w:next w:val="BodyText"/>
    <w:qFormat/>
    <w:rsid w:val="00321DBE"/>
    <w:pPr>
      <w:tabs>
        <w:tab w:val="left" w:pos="794"/>
      </w:tabs>
      <w:spacing w:before="240" w:after="0"/>
      <w:jc w:val="both"/>
    </w:pPr>
    <w:rPr>
      <w:rFonts w:ascii="Cambria" w:eastAsia="Calibri" w:hAnsi="Cambria" w:cs="Times New Roman"/>
      <w:i/>
      <w:szCs w:val="24"/>
      <w:lang w:eastAsia="en-US"/>
    </w:rPr>
  </w:style>
  <w:style w:type="paragraph" w:customStyle="1" w:styleId="ToRsinboxwithhangingindent">
    <w:name w:val="ToRs in box with hanging indent"/>
    <w:qFormat/>
    <w:rsid w:val="00321DBE"/>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after="0"/>
      <w:ind w:left="1304" w:hanging="1304"/>
      <w:jc w:val="both"/>
    </w:pPr>
    <w:rPr>
      <w:rFonts w:ascii="Cambria" w:eastAsia="Calibri" w:hAnsi="Cambria" w:cs="Times New Roman"/>
      <w:szCs w:val="24"/>
      <w:lang w:eastAsia="en-US"/>
    </w:rPr>
  </w:style>
  <w:style w:type="paragraph" w:customStyle="1" w:styleId="ToRinbox">
    <w:name w:val="ToR in box"/>
    <w:basedOn w:val="ToRsinboxwithhangingindent"/>
    <w:qFormat/>
    <w:rsid w:val="00321DBE"/>
    <w:pPr>
      <w:pBdr>
        <w:top w:val="single" w:sz="4" w:space="6" w:color="auto"/>
        <w:bottom w:val="single" w:sz="4" w:space="6" w:color="auto"/>
      </w:pBdr>
      <w:tabs>
        <w:tab w:val="clear" w:pos="1304"/>
      </w:tabs>
      <w:ind w:left="0" w:firstLine="0"/>
    </w:pPr>
  </w:style>
  <w:style w:type="paragraph" w:customStyle="1" w:styleId="Bullettextsecondlevel">
    <w:name w:val="Bullet text second level"/>
    <w:qFormat/>
    <w:rsid w:val="00EA0855"/>
    <w:pPr>
      <w:numPr>
        <w:numId w:val="10"/>
      </w:numPr>
      <w:spacing w:after="0"/>
      <w:ind w:left="851" w:hanging="284"/>
      <w:jc w:val="both"/>
    </w:pPr>
    <w:rPr>
      <w:rFonts w:asciiTheme="minorHAnsi" w:eastAsia="Calibri" w:hAnsiTheme="minorHAnsi" w:cs="Times New Roman"/>
      <w:szCs w:val="24"/>
      <w:lang w:eastAsia="en-US"/>
    </w:rPr>
  </w:style>
  <w:style w:type="paragraph" w:customStyle="1" w:styleId="BodyTextnospacebefore">
    <w:name w:val="Body Text – no space before"/>
    <w:next w:val="BodyText"/>
    <w:qFormat/>
    <w:rsid w:val="000D735B"/>
    <w:pPr>
      <w:jc w:val="both"/>
    </w:pPr>
    <w:rPr>
      <w:rFonts w:asciiTheme="minorHAnsi" w:eastAsia="Calibri" w:hAnsiTheme="minorHAnsi" w:cs="Times New Roman"/>
      <w:szCs w:val="24"/>
      <w:lang w:eastAsia="en-US"/>
    </w:rPr>
  </w:style>
  <w:style w:type="paragraph" w:styleId="TableofAuthorities">
    <w:name w:val="table of authorities"/>
    <w:basedOn w:val="Normal"/>
    <w:next w:val="Normal"/>
    <w:uiPriority w:val="99"/>
    <w:semiHidden/>
    <w:unhideWhenUsed/>
    <w:rsid w:val="00321DBE"/>
    <w:pPr>
      <w:spacing w:before="240" w:after="0"/>
      <w:ind w:left="240" w:hanging="240"/>
    </w:pPr>
    <w:rPr>
      <w:rFonts w:eastAsia="Calibri" w:cs="Times New Roman"/>
      <w:szCs w:val="24"/>
      <w:lang w:eastAsia="en-US"/>
    </w:rPr>
  </w:style>
  <w:style w:type="paragraph" w:customStyle="1" w:styleId="10TableorFigurefootnote">
    <w:name w:val="10 Table or Figure footnote"/>
    <w:qFormat/>
    <w:rsid w:val="00321DBE"/>
    <w:pPr>
      <w:keepNext/>
      <w:spacing w:after="0" w:line="240" w:lineRule="auto"/>
    </w:pPr>
    <w:rPr>
      <w:rFonts w:ascii="Arial Narrow" w:eastAsia="Calibri" w:hAnsi="Arial Narrow" w:cs="Times New Roman"/>
      <w:sz w:val="16"/>
      <w:szCs w:val="24"/>
      <w:lang w:eastAsia="en-US"/>
    </w:rPr>
  </w:style>
  <w:style w:type="paragraph" w:customStyle="1" w:styleId="11TableorFigurefootnotenostick">
    <w:name w:val="11 Table or Figure footnote – no stick"/>
    <w:next w:val="BodyText"/>
    <w:qFormat/>
    <w:rsid w:val="00321DBE"/>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321DBE"/>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9Tablerightaligned">
    <w:name w:val="09 Table right aligned ($)"/>
    <w:qFormat/>
    <w:rsid w:val="00321DBE"/>
    <w:pPr>
      <w:spacing w:before="20" w:after="0" w:line="240" w:lineRule="auto"/>
      <w:ind w:left="57" w:right="170"/>
      <w:jc w:val="right"/>
    </w:pPr>
    <w:rPr>
      <w:rFonts w:ascii="Arial Narrow" w:eastAsia="Calibri" w:hAnsi="Arial Narrow" w:cs="Times New Roman"/>
      <w:sz w:val="18"/>
      <w:szCs w:val="24"/>
      <w:lang w:eastAsia="en-US"/>
    </w:rPr>
  </w:style>
  <w:style w:type="paragraph" w:customStyle="1" w:styleId="07Tablebullet">
    <w:name w:val="07 Table bullet"/>
    <w:qFormat/>
    <w:rsid w:val="00321DBE"/>
    <w:pPr>
      <w:numPr>
        <w:numId w:val="11"/>
      </w:numPr>
      <w:spacing w:after="0" w:line="240" w:lineRule="auto"/>
      <w:ind w:left="227" w:right="57" w:hanging="170"/>
    </w:pPr>
    <w:rPr>
      <w:rFonts w:ascii="Arial Narrow" w:eastAsia="Calibri" w:hAnsi="Arial Narrow" w:cs="Times New Roman"/>
      <w:sz w:val="18"/>
      <w:szCs w:val="24"/>
      <w:lang w:eastAsia="en-US"/>
    </w:rPr>
  </w:style>
  <w:style w:type="numbering" w:customStyle="1" w:styleId="Headings">
    <w:name w:val="Headings"/>
    <w:uiPriority w:val="99"/>
    <w:rsid w:val="00321DBE"/>
    <w:pPr>
      <w:numPr>
        <w:numId w:val="31"/>
      </w:numPr>
    </w:pPr>
  </w:style>
  <w:style w:type="paragraph" w:customStyle="1" w:styleId="Picturewithbox">
    <w:name w:val="Picture with box"/>
    <w:next w:val="11TableorFigurefootnotenostick"/>
    <w:qFormat/>
    <w:rsid w:val="00321DBE"/>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styleId="TableofFigures">
    <w:name w:val="table of figures"/>
    <w:aliases w:val="- TOC for list of Figures or Tables"/>
    <w:uiPriority w:val="99"/>
    <w:unhideWhenUsed/>
    <w:rsid w:val="00321DBE"/>
    <w:pPr>
      <w:spacing w:after="0" w:line="240" w:lineRule="auto"/>
      <w:ind w:left="1418" w:right="567" w:hanging="1418"/>
    </w:pPr>
    <w:rPr>
      <w:rFonts w:ascii="Cambria" w:eastAsia="Calibri" w:hAnsi="Cambria" w:cs="Times New Roman"/>
      <w:szCs w:val="24"/>
      <w:lang w:eastAsia="en-US"/>
    </w:rPr>
  </w:style>
  <w:style w:type="paragraph" w:customStyle="1" w:styleId="Titlepage">
    <w:name w:val="Title page"/>
    <w:qFormat/>
    <w:rsid w:val="00321DBE"/>
    <w:pPr>
      <w:spacing w:before="120" w:after="0"/>
      <w:jc w:val="center"/>
    </w:pPr>
    <w:rPr>
      <w:rFonts w:ascii="Cambria" w:eastAsia="Calibri" w:hAnsi="Cambria" w:cs="Times New Roman"/>
      <w:sz w:val="40"/>
      <w:szCs w:val="40"/>
      <w:lang w:eastAsia="en-US"/>
    </w:rPr>
  </w:style>
  <w:style w:type="paragraph" w:styleId="TOAHeading">
    <w:name w:val="toa heading"/>
    <w:basedOn w:val="Normal"/>
    <w:next w:val="Normal"/>
    <w:uiPriority w:val="99"/>
    <w:semiHidden/>
    <w:unhideWhenUsed/>
    <w:rsid w:val="00321DBE"/>
    <w:pPr>
      <w:spacing w:before="240" w:after="0"/>
    </w:pPr>
    <w:rPr>
      <w:rFonts w:asciiTheme="majorHAnsi" w:eastAsiaTheme="majorEastAsia" w:hAnsiTheme="majorHAnsi" w:cstheme="majorBidi"/>
      <w:b/>
      <w:bCs/>
      <w:szCs w:val="24"/>
      <w:lang w:eastAsia="en-US"/>
    </w:rPr>
  </w:style>
  <w:style w:type="paragraph" w:customStyle="1" w:styleId="TableorFigurefootnote">
    <w:name w:val="Table or Figure footnote"/>
    <w:next w:val="BodyText"/>
    <w:qFormat/>
    <w:rsid w:val="00321DBE"/>
    <w:pPr>
      <w:spacing w:after="240" w:line="240" w:lineRule="auto"/>
      <w:contextualSpacing/>
    </w:pPr>
    <w:rPr>
      <w:rFonts w:ascii="Garamond" w:eastAsia="Calibri" w:hAnsi="Garamond" w:cs="Times New Roman"/>
      <w:sz w:val="16"/>
      <w:lang w:eastAsia="en-US"/>
    </w:rPr>
  </w:style>
  <w:style w:type="paragraph" w:customStyle="1" w:styleId="08Tablebulletsecondlevel">
    <w:name w:val="08 Table bullet second level"/>
    <w:qFormat/>
    <w:rsid w:val="00321DBE"/>
    <w:pPr>
      <w:numPr>
        <w:numId w:val="13"/>
      </w:numPr>
      <w:spacing w:after="0" w:line="240" w:lineRule="auto"/>
      <w:ind w:left="397" w:hanging="170"/>
    </w:pPr>
    <w:rPr>
      <w:rFonts w:ascii="Arial Narrow" w:eastAsia="Calibri" w:hAnsi="Arial Narrow" w:cs="Times New Roman"/>
      <w:sz w:val="18"/>
      <w:szCs w:val="24"/>
      <w:lang w:eastAsia="en-US"/>
    </w:rPr>
  </w:style>
  <w:style w:type="paragraph" w:customStyle="1" w:styleId="03TableHEADINGrightaligned">
    <w:name w:val="03 Table HEADING right aligned ($)"/>
    <w:qFormat/>
    <w:rsid w:val="00321DBE"/>
    <w:pPr>
      <w:keepNext/>
      <w:spacing w:before="60" w:after="0" w:line="240" w:lineRule="auto"/>
      <w:ind w:left="57" w:right="170"/>
      <w:jc w:val="right"/>
    </w:pPr>
    <w:rPr>
      <w:rFonts w:ascii="Arial Narrow" w:eastAsia="Calibri" w:hAnsi="Arial Narrow" w:cs="Times New Roman"/>
      <w:b/>
      <w:sz w:val="18"/>
      <w:szCs w:val="24"/>
      <w:lang w:eastAsia="en-US"/>
    </w:rPr>
  </w:style>
  <w:style w:type="paragraph" w:customStyle="1" w:styleId="04Tablesubheading">
    <w:name w:val="04 Table subheading"/>
    <w:qFormat/>
    <w:rsid w:val="00321DBE"/>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FooterwithLandscape">
    <w:name w:val="Footer with # Landscape"/>
    <w:qFormat/>
    <w:rsid w:val="00321DBE"/>
    <w:pPr>
      <w:pBdr>
        <w:top w:val="single" w:sz="4" w:space="1" w:color="auto"/>
      </w:pBdr>
      <w:tabs>
        <w:tab w:val="right" w:pos="14572"/>
      </w:tabs>
      <w:spacing w:before="240" w:after="0" w:line="240" w:lineRule="auto"/>
    </w:pPr>
    <w:rPr>
      <w:rFonts w:ascii="Cambria" w:eastAsia="Calibri" w:hAnsi="Cambria" w:cs="Times New Roman"/>
      <w:sz w:val="20"/>
      <w:szCs w:val="24"/>
      <w:lang w:eastAsia="en-US"/>
    </w:rPr>
  </w:style>
  <w:style w:type="paragraph" w:customStyle="1" w:styleId="FooterwithPortrait">
    <w:name w:val="Footer with # Portrait"/>
    <w:basedOn w:val="FooterwithLandscape"/>
    <w:qFormat/>
    <w:rsid w:val="00321DBE"/>
    <w:pPr>
      <w:tabs>
        <w:tab w:val="clear" w:pos="14572"/>
        <w:tab w:val="right" w:pos="9639"/>
      </w:tabs>
    </w:pPr>
  </w:style>
  <w:style w:type="paragraph" w:customStyle="1" w:styleId="08Bulletsseriesofsentences">
    <w:name w:val="08. Bullets – series of sentences"/>
    <w:link w:val="08BulletsseriesofsentencesChar"/>
    <w:qFormat/>
    <w:rsid w:val="00FB060F"/>
    <w:pPr>
      <w:spacing w:before="120" w:after="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FB060F"/>
    <w:rPr>
      <w:rFonts w:asciiTheme="minorHAnsi" w:eastAsia="Calibri" w:hAnsiTheme="minorHAnsi" w:cs="Times New Roman"/>
      <w:lang w:eastAsia="en-US"/>
    </w:rPr>
  </w:style>
  <w:style w:type="numbering" w:customStyle="1" w:styleId="NoList1">
    <w:name w:val="No List1"/>
    <w:next w:val="NoList"/>
    <w:uiPriority w:val="99"/>
    <w:semiHidden/>
    <w:unhideWhenUsed/>
    <w:rsid w:val="00321DBE"/>
  </w:style>
  <w:style w:type="numbering" w:customStyle="1" w:styleId="Numberedlist">
    <w:name w:val="Numbered list"/>
    <w:uiPriority w:val="99"/>
    <w:rsid w:val="00321DBE"/>
    <w:pPr>
      <w:numPr>
        <w:numId w:val="14"/>
      </w:numPr>
    </w:pPr>
  </w:style>
  <w:style w:type="numbering" w:styleId="111111">
    <w:name w:val="Outline List 2"/>
    <w:basedOn w:val="NoList"/>
    <w:uiPriority w:val="99"/>
    <w:semiHidden/>
    <w:unhideWhenUsed/>
    <w:rsid w:val="00321DBE"/>
    <w:pPr>
      <w:numPr>
        <w:numId w:val="15"/>
      </w:numPr>
    </w:pPr>
  </w:style>
  <w:style w:type="numbering" w:customStyle="1" w:styleId="NoList2">
    <w:name w:val="No List2"/>
    <w:next w:val="NoList"/>
    <w:uiPriority w:val="99"/>
    <w:semiHidden/>
    <w:unhideWhenUsed/>
    <w:rsid w:val="00321DBE"/>
  </w:style>
  <w:style w:type="numbering" w:customStyle="1" w:styleId="Numberedlist1">
    <w:name w:val="Numbered list1"/>
    <w:uiPriority w:val="99"/>
    <w:rsid w:val="00321DBE"/>
    <w:pPr>
      <w:numPr>
        <w:numId w:val="12"/>
      </w:numPr>
    </w:pPr>
  </w:style>
  <w:style w:type="numbering" w:customStyle="1" w:styleId="1111111">
    <w:name w:val="1 / 1.1 / 1.1.11"/>
    <w:basedOn w:val="NoList"/>
    <w:next w:val="111111"/>
    <w:uiPriority w:val="99"/>
    <w:semiHidden/>
    <w:unhideWhenUsed/>
    <w:rsid w:val="00321DBE"/>
    <w:pPr>
      <w:numPr>
        <w:numId w:val="16"/>
      </w:numPr>
    </w:pPr>
  </w:style>
  <w:style w:type="paragraph" w:customStyle="1" w:styleId="References">
    <w:name w:val="References"/>
    <w:qFormat/>
    <w:rsid w:val="00321DBE"/>
    <w:pPr>
      <w:spacing w:before="80" w:after="0" w:line="240" w:lineRule="auto"/>
      <w:ind w:left="284" w:hanging="284"/>
    </w:pPr>
    <w:rPr>
      <w:rFonts w:ascii="Cambria" w:eastAsia="Calibri" w:hAnsi="Cambria" w:cs="Times New Roman"/>
      <w:sz w:val="18"/>
      <w:szCs w:val="24"/>
      <w:lang w:eastAsia="en-US"/>
    </w:rPr>
  </w:style>
  <w:style w:type="character" w:styleId="IntenseEmphasis">
    <w:name w:val="Intense Emphasis"/>
    <w:basedOn w:val="DefaultParagraphFont"/>
    <w:uiPriority w:val="21"/>
    <w:qFormat/>
    <w:rsid w:val="00321DBE"/>
    <w:rPr>
      <w:b/>
      <w:bCs/>
      <w:i/>
      <w:iCs/>
      <w:color w:val="4F81BD" w:themeColor="accent1"/>
    </w:rPr>
  </w:style>
  <w:style w:type="paragraph" w:styleId="Subtitle">
    <w:name w:val="Subtitle"/>
    <w:basedOn w:val="Normal"/>
    <w:next w:val="Normal"/>
    <w:link w:val="SubtitleChar"/>
    <w:qFormat/>
    <w:rsid w:val="00321DBE"/>
    <w:pPr>
      <w:numPr>
        <w:ilvl w:val="1"/>
      </w:numPr>
      <w:spacing w:after="0" w:line="240" w:lineRule="auto"/>
      <w:jc w:val="left"/>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321DBE"/>
    <w:rPr>
      <w:rFonts w:asciiTheme="majorHAnsi" w:eastAsiaTheme="majorEastAsia" w:hAnsiTheme="majorHAnsi" w:cstheme="majorBidi"/>
      <w:iCs/>
      <w:spacing w:val="15"/>
      <w:szCs w:val="24"/>
      <w:lang w:eastAsia="en-US"/>
    </w:rPr>
  </w:style>
  <w:style w:type="paragraph" w:customStyle="1" w:styleId="HeaderTable">
    <w:name w:val="Header Table"/>
    <w:basedOn w:val="Caption"/>
    <w:link w:val="HeaderTableChar"/>
    <w:qFormat/>
    <w:rsid w:val="00321DBE"/>
    <w:pPr>
      <w:keepNext/>
      <w:spacing w:before="240"/>
      <w:ind w:left="1418" w:hanging="1418"/>
    </w:pPr>
    <w:rPr>
      <w:rFonts w:ascii="Arial" w:eastAsia="Calibri" w:hAnsi="Arial"/>
      <w:bCs w:val="0"/>
      <w:iCs/>
      <w:sz w:val="20"/>
      <w:lang w:eastAsia="en-US"/>
    </w:rPr>
  </w:style>
  <w:style w:type="paragraph" w:customStyle="1" w:styleId="HeaderFigure">
    <w:name w:val="Header Figure"/>
    <w:basedOn w:val="Caption"/>
    <w:link w:val="HeaderFigureChar"/>
    <w:qFormat/>
    <w:rsid w:val="00321DBE"/>
    <w:pPr>
      <w:keepNext/>
      <w:spacing w:before="240"/>
      <w:ind w:left="1418" w:hanging="1418"/>
    </w:pPr>
    <w:rPr>
      <w:rFonts w:ascii="Arial" w:eastAsia="Calibri" w:hAnsi="Arial"/>
      <w:bCs w:val="0"/>
      <w:iCs/>
      <w:sz w:val="20"/>
      <w:lang w:eastAsia="en-US"/>
    </w:rPr>
  </w:style>
  <w:style w:type="character" w:customStyle="1" w:styleId="HeaderTableChar">
    <w:name w:val="Header Table Char"/>
    <w:basedOn w:val="CaptionChar"/>
    <w:link w:val="HeaderTable"/>
    <w:rsid w:val="00321DBE"/>
    <w:rPr>
      <w:rFonts w:ascii="Arial" w:eastAsia="Calibri" w:hAnsi="Arial" w:cs="Times New Roman"/>
      <w:b/>
      <w:bCs w:val="0"/>
      <w:iCs/>
      <w:sz w:val="20"/>
      <w:szCs w:val="18"/>
      <w:lang w:eastAsia="en-US"/>
    </w:rPr>
  </w:style>
  <w:style w:type="character" w:customStyle="1" w:styleId="HeaderFigureChar">
    <w:name w:val="Header Figure Char"/>
    <w:basedOn w:val="CaptionChar"/>
    <w:link w:val="HeaderFigure"/>
    <w:rsid w:val="00321DBE"/>
    <w:rPr>
      <w:rFonts w:ascii="Arial" w:eastAsia="Calibri" w:hAnsi="Arial" w:cs="Times New Roman"/>
      <w:b/>
      <w:bCs w:val="0"/>
      <w:iCs/>
      <w:sz w:val="20"/>
      <w:szCs w:val="18"/>
      <w:lang w:eastAsia="en-US"/>
    </w:rPr>
  </w:style>
  <w:style w:type="paragraph" w:customStyle="1" w:styleId="ToR3Tableheader">
    <w:name w:val="ToR3 Table header"/>
    <w:basedOn w:val="Caption"/>
    <w:link w:val="ToR3TableheaderChar"/>
    <w:qFormat/>
    <w:rsid w:val="00321DBE"/>
    <w:pPr>
      <w:keepNext/>
      <w:spacing w:before="240"/>
      <w:ind w:left="1418" w:hanging="1418"/>
    </w:pPr>
    <w:rPr>
      <w:rFonts w:ascii="Arial" w:eastAsia="Calibri" w:hAnsi="Arial"/>
      <w:bCs w:val="0"/>
      <w:iCs/>
      <w:sz w:val="20"/>
      <w:lang w:eastAsia="en-US"/>
    </w:rPr>
  </w:style>
  <w:style w:type="character" w:customStyle="1" w:styleId="ToR3TableheaderChar">
    <w:name w:val="ToR3 Table header Char"/>
    <w:basedOn w:val="DefaultParagraphFont"/>
    <w:link w:val="ToR3Tableheader"/>
    <w:rsid w:val="00321DBE"/>
    <w:rPr>
      <w:rFonts w:ascii="Arial" w:eastAsia="Calibri" w:hAnsi="Arial" w:cs="Times New Roman"/>
      <w:b/>
      <w:iCs/>
      <w:sz w:val="20"/>
      <w:szCs w:val="18"/>
      <w:lang w:eastAsia="en-US"/>
    </w:rPr>
  </w:style>
  <w:style w:type="paragraph" w:customStyle="1" w:styleId="Tablenote">
    <w:name w:val="Table note"/>
    <w:basedOn w:val="Normal"/>
    <w:link w:val="TablenoteChar"/>
    <w:qFormat/>
    <w:rsid w:val="00505354"/>
    <w:pPr>
      <w:spacing w:line="240" w:lineRule="auto"/>
      <w:contextualSpacing/>
    </w:pPr>
    <w:rPr>
      <w:rFonts w:ascii="Arial" w:eastAsiaTheme="minorEastAsia" w:hAnsi="Arial" w:cs="Baskerville"/>
      <w:sz w:val="18"/>
      <w:szCs w:val="20"/>
    </w:rPr>
  </w:style>
  <w:style w:type="character" w:customStyle="1" w:styleId="TablenoteChar">
    <w:name w:val="Table note Char"/>
    <w:basedOn w:val="DefaultParagraphFont"/>
    <w:link w:val="Tablenote"/>
    <w:rsid w:val="00505354"/>
    <w:rPr>
      <w:rFonts w:ascii="Arial" w:eastAsiaTheme="minorEastAsia" w:hAnsi="Arial" w:cs="Baskerville"/>
      <w:sz w:val="18"/>
      <w:szCs w:val="20"/>
    </w:rPr>
  </w:style>
  <w:style w:type="table" w:customStyle="1" w:styleId="TableGrid7">
    <w:name w:val="Table Grid7"/>
    <w:basedOn w:val="TableNormal"/>
    <w:next w:val="TableGrid"/>
    <w:uiPriority w:val="59"/>
    <w:rsid w:val="00321DBE"/>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ofreference">
    <w:name w:val="Term of reference"/>
    <w:basedOn w:val="Normal"/>
    <w:link w:val="TermofreferenceChar"/>
    <w:qFormat/>
    <w:rsid w:val="00321DBE"/>
    <w:pPr>
      <w:pBdr>
        <w:top w:val="single" w:sz="4" w:space="1" w:color="auto"/>
        <w:left w:val="single" w:sz="4" w:space="4" w:color="auto"/>
        <w:bottom w:val="single" w:sz="4" w:space="1" w:color="auto"/>
        <w:right w:val="single" w:sz="4" w:space="4" w:color="auto"/>
      </w:pBdr>
      <w:spacing w:line="240" w:lineRule="auto"/>
      <w:jc w:val="center"/>
    </w:pPr>
    <w:rPr>
      <w:rFonts w:ascii="Calibri" w:eastAsiaTheme="minorEastAsia" w:hAnsi="Calibri"/>
      <w:b/>
      <w:color w:val="365F91" w:themeColor="accent1" w:themeShade="BF"/>
      <w:szCs w:val="24"/>
    </w:rPr>
  </w:style>
  <w:style w:type="paragraph" w:customStyle="1" w:styleId="Tablename">
    <w:name w:val="Table name"/>
    <w:basedOn w:val="Caption"/>
    <w:link w:val="TablenameChar"/>
    <w:qFormat/>
    <w:rsid w:val="00321DBE"/>
    <w:pPr>
      <w:keepNext/>
      <w:spacing w:after="60"/>
      <w:jc w:val="left"/>
    </w:pPr>
    <w:rPr>
      <w:rFonts w:ascii="Calibri" w:eastAsiaTheme="minorEastAsia" w:hAnsi="Calibri"/>
      <w:lang w:eastAsia="en-US"/>
    </w:rPr>
  </w:style>
  <w:style w:type="character" w:customStyle="1" w:styleId="TermofreferenceChar">
    <w:name w:val="Term of reference Char"/>
    <w:basedOn w:val="DefaultParagraphFont"/>
    <w:link w:val="Termofreference"/>
    <w:rsid w:val="00321DBE"/>
    <w:rPr>
      <w:rFonts w:ascii="Calibri" w:eastAsiaTheme="minorEastAsia" w:hAnsi="Calibri"/>
      <w:b/>
      <w:color w:val="365F91" w:themeColor="accent1" w:themeShade="BF"/>
      <w:szCs w:val="24"/>
    </w:rPr>
  </w:style>
  <w:style w:type="character" w:customStyle="1" w:styleId="TablenameChar">
    <w:name w:val="Table name Char"/>
    <w:basedOn w:val="CaptionChar"/>
    <w:link w:val="Tablename"/>
    <w:rsid w:val="00321DBE"/>
    <w:rPr>
      <w:rFonts w:ascii="Calibri" w:eastAsiaTheme="minorEastAsia" w:hAnsi="Calibri" w:cs="Times New Roman"/>
      <w:b/>
      <w:bCs/>
      <w:szCs w:val="18"/>
      <w:lang w:eastAsia="en-US"/>
    </w:rPr>
  </w:style>
  <w:style w:type="paragraph" w:customStyle="1" w:styleId="Figurename">
    <w:name w:val="Figure name"/>
    <w:basedOn w:val="Normal"/>
    <w:link w:val="FigurenameChar"/>
    <w:qFormat/>
    <w:rsid w:val="00321DBE"/>
    <w:pPr>
      <w:spacing w:before="60" w:after="60" w:line="240" w:lineRule="auto"/>
      <w:jc w:val="left"/>
    </w:pPr>
    <w:rPr>
      <w:rFonts w:ascii="Calibri" w:eastAsiaTheme="minorEastAsia" w:hAnsi="Calibri"/>
      <w:b/>
      <w:szCs w:val="24"/>
      <w:lang w:val="en-US" w:eastAsia="en-US"/>
    </w:rPr>
  </w:style>
  <w:style w:type="paragraph" w:customStyle="1" w:styleId="Figurenote">
    <w:name w:val="Figure note"/>
    <w:basedOn w:val="Normal"/>
    <w:link w:val="FigurenoteChar"/>
    <w:qFormat/>
    <w:rsid w:val="00321DBE"/>
    <w:pPr>
      <w:spacing w:before="60" w:after="60" w:line="240" w:lineRule="auto"/>
      <w:jc w:val="left"/>
    </w:pPr>
    <w:rPr>
      <w:rFonts w:eastAsiaTheme="minorEastAsia"/>
      <w:sz w:val="20"/>
      <w:szCs w:val="20"/>
      <w:lang w:eastAsia="en-US"/>
    </w:rPr>
  </w:style>
  <w:style w:type="character" w:customStyle="1" w:styleId="FigurenameChar">
    <w:name w:val="Figure name Char"/>
    <w:basedOn w:val="DefaultParagraphFont"/>
    <w:link w:val="Figurename"/>
    <w:rsid w:val="00321DBE"/>
    <w:rPr>
      <w:rFonts w:ascii="Calibri" w:eastAsiaTheme="minorEastAsia" w:hAnsi="Calibri"/>
      <w:b/>
      <w:szCs w:val="24"/>
      <w:lang w:val="en-US" w:eastAsia="en-US"/>
    </w:rPr>
  </w:style>
  <w:style w:type="character" w:customStyle="1" w:styleId="FigurenoteChar">
    <w:name w:val="Figure note Char"/>
    <w:basedOn w:val="DefaultParagraphFont"/>
    <w:link w:val="Figurenote"/>
    <w:rsid w:val="00321DBE"/>
    <w:rPr>
      <w:rFonts w:asciiTheme="minorHAnsi" w:eastAsiaTheme="minorEastAsia" w:hAnsiTheme="minorHAnsi"/>
      <w:sz w:val="20"/>
      <w:szCs w:val="20"/>
      <w:lang w:eastAsia="en-US"/>
    </w:rPr>
  </w:style>
  <w:style w:type="paragraph" w:customStyle="1" w:styleId="EndNoteBibliographyTitle">
    <w:name w:val="EndNote Bibliography Title"/>
    <w:basedOn w:val="Normal"/>
    <w:link w:val="EndNoteBibliographyTitleChar"/>
    <w:rsid w:val="00321DBE"/>
    <w:pPr>
      <w:spacing w:after="0" w:line="240" w:lineRule="auto"/>
      <w:jc w:val="center"/>
    </w:pPr>
    <w:rPr>
      <w:rFonts w:eastAsiaTheme="minorEastAsia" w:cs="Calibri"/>
      <w:noProof/>
      <w:sz w:val="20"/>
      <w:szCs w:val="20"/>
    </w:rPr>
  </w:style>
  <w:style w:type="character" w:customStyle="1" w:styleId="EndNoteBibliographyTitleChar">
    <w:name w:val="EndNote Bibliography Title Char"/>
    <w:basedOn w:val="TabletextChar"/>
    <w:link w:val="EndNoteBibliographyTitle"/>
    <w:rsid w:val="00321DBE"/>
    <w:rPr>
      <w:rFonts w:ascii="Cambria" w:eastAsiaTheme="minorEastAsia" w:hAnsi="Cambria" w:cs="Calibri"/>
      <w:noProof/>
      <w:sz w:val="20"/>
      <w:szCs w:val="20"/>
    </w:rPr>
  </w:style>
  <w:style w:type="paragraph" w:customStyle="1" w:styleId="EndNoteBibliography">
    <w:name w:val="EndNote Bibliography"/>
    <w:basedOn w:val="Normal"/>
    <w:link w:val="EndNoteBibliographyChar"/>
    <w:rsid w:val="00321DBE"/>
    <w:pPr>
      <w:spacing w:line="240" w:lineRule="auto"/>
      <w:jc w:val="left"/>
    </w:pPr>
    <w:rPr>
      <w:rFonts w:eastAsiaTheme="minorEastAsia" w:cs="Calibri"/>
      <w:noProof/>
      <w:sz w:val="20"/>
      <w:szCs w:val="20"/>
    </w:rPr>
  </w:style>
  <w:style w:type="character" w:customStyle="1" w:styleId="EndNoteBibliographyChar">
    <w:name w:val="EndNote Bibliography Char"/>
    <w:basedOn w:val="TabletextChar"/>
    <w:link w:val="EndNoteBibliography"/>
    <w:rsid w:val="00321DBE"/>
    <w:rPr>
      <w:rFonts w:ascii="Cambria" w:eastAsiaTheme="minorEastAsia" w:hAnsi="Cambria" w:cs="Calibri"/>
      <w:noProof/>
      <w:sz w:val="20"/>
      <w:szCs w:val="20"/>
    </w:rPr>
  </w:style>
  <w:style w:type="table" w:customStyle="1" w:styleId="TableGrid8">
    <w:name w:val="Table Grid8"/>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Sectionheading-numbered">
    <w:name w:val="ES. Section heading - numbered"/>
    <w:uiPriority w:val="99"/>
    <w:rsid w:val="00321DBE"/>
    <w:pPr>
      <w:numPr>
        <w:numId w:val="17"/>
      </w:numPr>
    </w:pPr>
  </w:style>
  <w:style w:type="paragraph" w:customStyle="1" w:styleId="TableHeading">
    <w:name w:val="TableHeading"/>
    <w:basedOn w:val="Normal"/>
    <w:link w:val="TableHeadingChar"/>
    <w:qFormat/>
    <w:rsid w:val="00321DBE"/>
    <w:pPr>
      <w:keepNext/>
      <w:tabs>
        <w:tab w:val="left" w:pos="993"/>
      </w:tabs>
      <w:spacing w:before="40" w:after="40" w:line="240" w:lineRule="auto"/>
      <w:ind w:left="992" w:hanging="992"/>
      <w:jc w:val="left"/>
    </w:pPr>
    <w:rPr>
      <w:rFonts w:ascii="Arial Narrow" w:eastAsia="Times New Roman" w:hAnsi="Arial Narrow" w:cs="Tahoma"/>
      <w:b/>
      <w:sz w:val="20"/>
      <w:szCs w:val="20"/>
    </w:rPr>
  </w:style>
  <w:style w:type="character" w:customStyle="1" w:styleId="TableHeadingChar">
    <w:name w:val="TableHeading Char"/>
    <w:link w:val="TableHeading"/>
    <w:rsid w:val="00321DBE"/>
    <w:rPr>
      <w:rFonts w:ascii="Arial Narrow" w:eastAsia="Times New Roman" w:hAnsi="Arial Narrow" w:cs="Tahoma"/>
      <w:b/>
      <w:sz w:val="20"/>
      <w:szCs w:val="20"/>
    </w:rPr>
  </w:style>
  <w:style w:type="paragraph" w:customStyle="1" w:styleId="ESNumberedSectionHeading">
    <w:name w:val="ES Numbered Section Heading"/>
    <w:link w:val="ESNumberedSectionHeadingChar"/>
    <w:qFormat/>
    <w:rsid w:val="00321DBE"/>
    <w:pPr>
      <w:keepNext/>
      <w:numPr>
        <w:numId w:val="18"/>
      </w:numPr>
      <w:spacing w:before="240" w:after="120" w:line="312" w:lineRule="auto"/>
      <w:ind w:left="1134" w:hanging="1134"/>
      <w:outlineLvl w:val="2"/>
    </w:pPr>
    <w:rPr>
      <w:rFonts w:cs="Tahoma"/>
      <w:smallCaps/>
      <w:szCs w:val="24"/>
    </w:rPr>
  </w:style>
  <w:style w:type="character" w:customStyle="1" w:styleId="ESNumberedSectionHeadingChar">
    <w:name w:val="ES Numbered Section Heading Char"/>
    <w:basedOn w:val="DefaultParagraphFont"/>
    <w:link w:val="ESNumberedSectionHeading"/>
    <w:rsid w:val="00321DBE"/>
    <w:rPr>
      <w:rFonts w:cs="Tahoma"/>
      <w:smallCaps/>
      <w:szCs w:val="24"/>
    </w:rPr>
  </w:style>
  <w:style w:type="table" w:customStyle="1" w:styleId="TableGrid9">
    <w:name w:val="Table Grid9"/>
    <w:basedOn w:val="TableNormal"/>
    <w:next w:val="TableGrid"/>
    <w:uiPriority w:val="59"/>
    <w:rsid w:val="00321DBE"/>
    <w:pPr>
      <w:spacing w:before="40" w:after="4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321DBE"/>
    <w:pPr>
      <w:spacing w:before="60" w:after="60" w:line="240" w:lineRule="auto"/>
      <w:jc w:val="left"/>
    </w:pPr>
    <w:rPr>
      <w:rFonts w:ascii="Arial Narrow" w:eastAsia="Times New Roman" w:hAnsi="Arial Narrow" w:cs="Arial"/>
      <w:sz w:val="18"/>
    </w:rPr>
  </w:style>
  <w:style w:type="paragraph" w:customStyle="1" w:styleId="tabletext1">
    <w:name w:val="table text"/>
    <w:basedOn w:val="TableText0"/>
    <w:rsid w:val="00321DBE"/>
    <w:pPr>
      <w:keepNext/>
    </w:pPr>
    <w:rPr>
      <w:color w:val="000000"/>
      <w:szCs w:val="20"/>
    </w:rPr>
  </w:style>
  <w:style w:type="paragraph" w:customStyle="1" w:styleId="TableParagraph">
    <w:name w:val="Table Paragraph"/>
    <w:basedOn w:val="Normal"/>
    <w:uiPriority w:val="1"/>
    <w:qFormat/>
    <w:rsid w:val="00321DBE"/>
    <w:pPr>
      <w:widowControl w:val="0"/>
      <w:spacing w:after="0" w:line="240" w:lineRule="auto"/>
      <w:jc w:val="left"/>
    </w:pPr>
    <w:rPr>
      <w:sz w:val="22"/>
      <w:lang w:val="en-US" w:eastAsia="en-US"/>
    </w:rPr>
  </w:style>
  <w:style w:type="table" w:customStyle="1" w:styleId="TableGrid10">
    <w:name w:val="Table Grid10"/>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groundTable">
    <w:name w:val="Background Table"/>
    <w:basedOn w:val="Caption"/>
    <w:link w:val="BackgroundTableChar"/>
    <w:qFormat/>
    <w:rsid w:val="00321DBE"/>
    <w:pPr>
      <w:keepNext/>
      <w:ind w:left="1418" w:hanging="1418"/>
    </w:pPr>
    <w:rPr>
      <w:rFonts w:ascii="Arial" w:eastAsia="Calibri" w:hAnsi="Arial"/>
      <w:bCs w:val="0"/>
      <w:iCs/>
      <w:sz w:val="20"/>
      <w:lang w:eastAsia="en-US"/>
    </w:rPr>
  </w:style>
  <w:style w:type="character" w:customStyle="1" w:styleId="BackgroundTableChar">
    <w:name w:val="Background Table Char"/>
    <w:basedOn w:val="CaptionChar"/>
    <w:link w:val="BackgroundTable"/>
    <w:rsid w:val="00321DBE"/>
    <w:rPr>
      <w:rFonts w:ascii="Arial" w:eastAsia="Calibri" w:hAnsi="Arial" w:cs="Times New Roman"/>
      <w:b/>
      <w:bCs w:val="0"/>
      <w:iCs/>
      <w:sz w:val="20"/>
      <w:szCs w:val="18"/>
      <w:lang w:eastAsia="en-US"/>
    </w:rPr>
  </w:style>
  <w:style w:type="numbering" w:customStyle="1" w:styleId="ESSectionheading-numbered1">
    <w:name w:val="ES. Section heading - numbered1"/>
    <w:uiPriority w:val="99"/>
    <w:rsid w:val="00321DBE"/>
    <w:pPr>
      <w:numPr>
        <w:numId w:val="19"/>
      </w:numPr>
    </w:pPr>
  </w:style>
  <w:style w:type="character" w:customStyle="1" w:styleId="cell-value">
    <w:name w:val="cell-value"/>
    <w:basedOn w:val="DefaultParagraphFont"/>
    <w:rsid w:val="00321DBE"/>
  </w:style>
  <w:style w:type="character" w:customStyle="1" w:styleId="cell">
    <w:name w:val="cell"/>
    <w:basedOn w:val="DefaultParagraphFont"/>
    <w:rsid w:val="00321DBE"/>
  </w:style>
  <w:style w:type="character" w:customStyle="1" w:styleId="block">
    <w:name w:val="block"/>
    <w:basedOn w:val="DefaultParagraphFont"/>
    <w:rsid w:val="00321DBE"/>
  </w:style>
  <w:style w:type="paragraph" w:customStyle="1" w:styleId="CM27">
    <w:name w:val="CM27"/>
    <w:basedOn w:val="Normal"/>
    <w:next w:val="Normal"/>
    <w:uiPriority w:val="99"/>
    <w:rsid w:val="00321DBE"/>
    <w:pPr>
      <w:autoSpaceDE w:val="0"/>
      <w:autoSpaceDN w:val="0"/>
      <w:adjustRightInd w:val="0"/>
      <w:spacing w:after="0" w:line="240" w:lineRule="auto"/>
      <w:jc w:val="left"/>
    </w:pPr>
    <w:rPr>
      <w:rFonts w:ascii="Arial" w:hAnsi="Arial" w:cs="Arial"/>
      <w:szCs w:val="24"/>
      <w:lang w:eastAsia="en-US"/>
    </w:rPr>
  </w:style>
  <w:style w:type="paragraph" w:customStyle="1" w:styleId="CM34">
    <w:name w:val="CM34"/>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paragraph" w:customStyle="1" w:styleId="CM28">
    <w:name w:val="CM28"/>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character" w:customStyle="1" w:styleId="PersonalComposeStyle">
    <w:name w:val="Personal Compose Style"/>
    <w:basedOn w:val="DefaultParagraphFont"/>
    <w:rsid w:val="00321DBE"/>
    <w:rPr>
      <w:rFonts w:ascii="Arial" w:hAnsi="Arial" w:cs="Arial"/>
      <w:color w:val="auto"/>
      <w:sz w:val="20"/>
    </w:rPr>
  </w:style>
  <w:style w:type="character" w:customStyle="1" w:styleId="PersonalReplyStyle">
    <w:name w:val="Personal Reply Style"/>
    <w:basedOn w:val="DefaultParagraphFont"/>
    <w:rsid w:val="00321DBE"/>
    <w:rPr>
      <w:rFonts w:ascii="Arial" w:hAnsi="Arial" w:cs="Arial"/>
      <w:color w:val="auto"/>
      <w:sz w:val="20"/>
    </w:rPr>
  </w:style>
  <w:style w:type="paragraph" w:customStyle="1" w:styleId="Bullet">
    <w:name w:val="Bullet"/>
    <w:basedOn w:val="Normal"/>
    <w:rsid w:val="00321DBE"/>
    <w:pPr>
      <w:numPr>
        <w:numId w:val="24"/>
      </w:numPr>
      <w:spacing w:after="240" w:line="312" w:lineRule="auto"/>
      <w:jc w:val="left"/>
    </w:pPr>
    <w:rPr>
      <w:rFonts w:ascii="Calibri" w:eastAsia="Times New Roman" w:hAnsi="Calibri" w:cs="Tahoma"/>
      <w:sz w:val="22"/>
    </w:rPr>
  </w:style>
  <w:style w:type="paragraph" w:styleId="Date">
    <w:name w:val="Date"/>
    <w:basedOn w:val="Normal"/>
    <w:next w:val="Normal"/>
    <w:link w:val="DateChar"/>
    <w:rsid w:val="00321DBE"/>
    <w:pPr>
      <w:spacing w:after="240" w:line="312" w:lineRule="auto"/>
      <w:ind w:right="113"/>
      <w:jc w:val="right"/>
    </w:pPr>
    <w:rPr>
      <w:rFonts w:ascii="Arial" w:eastAsia="Times New Roman" w:hAnsi="Arial" w:cs="Tahoma"/>
      <w:b/>
      <w:sz w:val="36"/>
    </w:rPr>
  </w:style>
  <w:style w:type="character" w:customStyle="1" w:styleId="DateChar">
    <w:name w:val="Date Char"/>
    <w:basedOn w:val="DefaultParagraphFont"/>
    <w:link w:val="Date"/>
    <w:rsid w:val="00321DBE"/>
    <w:rPr>
      <w:rFonts w:ascii="Arial" w:eastAsia="Times New Roman" w:hAnsi="Arial" w:cs="Tahoma"/>
      <w:b/>
      <w:sz w:val="36"/>
    </w:rPr>
  </w:style>
  <w:style w:type="paragraph" w:customStyle="1" w:styleId="Summaryboxtext">
    <w:name w:val="Summary box text"/>
    <w:basedOn w:val="Normal"/>
    <w:rsid w:val="00321DBE"/>
    <w:pPr>
      <w:spacing w:after="100" w:afterAutospacing="1" w:line="312" w:lineRule="auto"/>
      <w:jc w:val="left"/>
    </w:pPr>
    <w:rPr>
      <w:rFonts w:ascii="Arial Narrow" w:eastAsia="Times New Roman" w:hAnsi="Arial Narrow" w:cs="Tahoma"/>
      <w:sz w:val="22"/>
    </w:rPr>
  </w:style>
  <w:style w:type="paragraph" w:customStyle="1" w:styleId="Summaryboxheading">
    <w:name w:val="Summary box heading"/>
    <w:basedOn w:val="Summaryboxtext"/>
    <w:rsid w:val="00321DBE"/>
    <w:pPr>
      <w:spacing w:before="120"/>
    </w:pPr>
    <w:rPr>
      <w:b/>
    </w:rPr>
  </w:style>
  <w:style w:type="paragraph" w:customStyle="1" w:styleId="Heading2a">
    <w:name w:val="Heading 2a"/>
    <w:basedOn w:val="Heading2"/>
    <w:rsid w:val="00321DBE"/>
    <w:pPr>
      <w:keepLines w:val="0"/>
      <w:spacing w:before="0" w:after="120" w:line="240" w:lineRule="auto"/>
      <w:jc w:val="left"/>
      <w:outlineLvl w:val="9"/>
    </w:pPr>
    <w:rPr>
      <w:rFonts w:ascii="Arial Narrow" w:eastAsia="Times New Roman" w:hAnsi="Arial Narrow" w:cs="Tahoma"/>
      <w:color w:val="auto"/>
      <w:sz w:val="22"/>
      <w:szCs w:val="22"/>
    </w:rPr>
  </w:style>
  <w:style w:type="character" w:styleId="PageNumber">
    <w:name w:val="page number"/>
    <w:rsid w:val="00321DBE"/>
    <w:rPr>
      <w:rFonts w:ascii="Tahoma" w:hAnsi="Tahoma"/>
      <w:b/>
      <w:sz w:val="18"/>
    </w:rPr>
  </w:style>
  <w:style w:type="paragraph" w:customStyle="1" w:styleId="PublicationTitle">
    <w:name w:val="PublicationTitle"/>
    <w:basedOn w:val="Normal"/>
    <w:rsid w:val="00321DBE"/>
    <w:pPr>
      <w:spacing w:after="240" w:line="480" w:lineRule="exact"/>
      <w:ind w:right="113"/>
      <w:jc w:val="right"/>
    </w:pPr>
    <w:rPr>
      <w:rFonts w:ascii="Arial" w:eastAsia="Times New Roman" w:hAnsi="Arial" w:cs="Tahoma"/>
      <w:b/>
      <w:i/>
      <w:sz w:val="44"/>
    </w:rPr>
  </w:style>
  <w:style w:type="paragraph" w:customStyle="1" w:styleId="Sub-title">
    <w:name w:val="Sub-title"/>
    <w:basedOn w:val="Normal"/>
    <w:rsid w:val="00321DBE"/>
    <w:pPr>
      <w:spacing w:after="240" w:line="312" w:lineRule="auto"/>
      <w:ind w:right="113"/>
      <w:jc w:val="right"/>
    </w:pPr>
    <w:rPr>
      <w:rFonts w:ascii="Arial" w:eastAsia="Times New Roman" w:hAnsi="Arial" w:cs="Tahoma"/>
      <w:b/>
      <w:sz w:val="32"/>
    </w:rPr>
  </w:style>
  <w:style w:type="paragraph" w:customStyle="1" w:styleId="TableText2">
    <w:name w:val="TableText"/>
    <w:basedOn w:val="Normal"/>
    <w:link w:val="TableTextChar1"/>
    <w:rsid w:val="00321DBE"/>
    <w:pPr>
      <w:keepNext/>
      <w:spacing w:before="40" w:after="40" w:line="312" w:lineRule="auto"/>
      <w:jc w:val="left"/>
    </w:pPr>
    <w:rPr>
      <w:rFonts w:ascii="Arial Narrow" w:eastAsia="Times New Roman" w:hAnsi="Arial Narrow" w:cs="Tahoma"/>
      <w:sz w:val="18"/>
    </w:rPr>
  </w:style>
  <w:style w:type="character" w:customStyle="1" w:styleId="TableTextChar1">
    <w:name w:val="TableText Char"/>
    <w:link w:val="TableText2"/>
    <w:rsid w:val="00321DBE"/>
    <w:rPr>
      <w:rFonts w:ascii="Arial Narrow" w:eastAsia="Times New Roman" w:hAnsi="Arial Narrow" w:cs="Tahoma"/>
      <w:sz w:val="18"/>
    </w:rPr>
  </w:style>
  <w:style w:type="paragraph" w:customStyle="1" w:styleId="TableName0">
    <w:name w:val="TableName"/>
    <w:basedOn w:val="TableText2"/>
    <w:link w:val="TableNameChar0"/>
    <w:rsid w:val="00321DBE"/>
    <w:pPr>
      <w:ind w:left="1440" w:hanging="720"/>
    </w:pPr>
    <w:rPr>
      <w:b/>
      <w:sz w:val="20"/>
    </w:rPr>
  </w:style>
  <w:style w:type="character" w:customStyle="1" w:styleId="TableNameChar0">
    <w:name w:val="TableName Char"/>
    <w:link w:val="TableName0"/>
    <w:rsid w:val="00321DBE"/>
    <w:rPr>
      <w:rFonts w:ascii="Arial Narrow" w:eastAsia="Times New Roman" w:hAnsi="Arial Narrow" w:cs="Tahoma"/>
      <w:b/>
      <w:sz w:val="20"/>
    </w:rPr>
  </w:style>
  <w:style w:type="paragraph" w:customStyle="1" w:styleId="TableNotes">
    <w:name w:val="TableNotes"/>
    <w:basedOn w:val="TableText2"/>
    <w:link w:val="TableNotesChar"/>
    <w:rsid w:val="00321DBE"/>
    <w:pPr>
      <w:keepNext w:val="0"/>
      <w:keepLines/>
      <w:spacing w:before="0" w:after="360"/>
      <w:ind w:left="720"/>
      <w:contextualSpacing/>
    </w:pPr>
    <w:rPr>
      <w:sz w:val="16"/>
    </w:rPr>
  </w:style>
  <w:style w:type="character" w:customStyle="1" w:styleId="TableNotesChar">
    <w:name w:val="TableNotes Char"/>
    <w:link w:val="TableNotes"/>
    <w:rsid w:val="00321DBE"/>
    <w:rPr>
      <w:rFonts w:ascii="Arial Narrow" w:eastAsia="Times New Roman" w:hAnsi="Arial Narrow" w:cs="Tahoma"/>
      <w:sz w:val="16"/>
    </w:rPr>
  </w:style>
  <w:style w:type="paragraph" w:styleId="Title">
    <w:name w:val="Title"/>
    <w:basedOn w:val="Normal"/>
    <w:link w:val="TitleChar"/>
    <w:qFormat/>
    <w:rsid w:val="00321DBE"/>
    <w:pPr>
      <w:spacing w:after="240" w:line="312" w:lineRule="auto"/>
      <w:jc w:val="center"/>
    </w:pPr>
    <w:rPr>
      <w:rFonts w:ascii="Arial" w:eastAsia="Times New Roman" w:hAnsi="Arial" w:cs="Tahoma"/>
      <w:b/>
      <w:smallCaps/>
      <w:sz w:val="44"/>
    </w:rPr>
  </w:style>
  <w:style w:type="character" w:customStyle="1" w:styleId="TitleChar">
    <w:name w:val="Title Char"/>
    <w:basedOn w:val="DefaultParagraphFont"/>
    <w:link w:val="Title"/>
    <w:rsid w:val="00321DBE"/>
    <w:rPr>
      <w:rFonts w:ascii="Arial" w:eastAsia="Times New Roman" w:hAnsi="Arial" w:cs="Tahoma"/>
      <w:b/>
      <w:smallCaps/>
      <w:sz w:val="44"/>
    </w:rPr>
  </w:style>
  <w:style w:type="paragraph" w:customStyle="1" w:styleId="Dash">
    <w:name w:val="Dash"/>
    <w:basedOn w:val="Normal"/>
    <w:rsid w:val="00321DBE"/>
    <w:pPr>
      <w:numPr>
        <w:numId w:val="25"/>
      </w:numPr>
      <w:spacing w:after="240" w:line="312" w:lineRule="auto"/>
      <w:jc w:val="left"/>
    </w:pPr>
    <w:rPr>
      <w:rFonts w:ascii="Calibri" w:eastAsia="Times New Roman" w:hAnsi="Calibri" w:cs="Tahoma"/>
      <w:sz w:val="22"/>
    </w:rPr>
  </w:style>
  <w:style w:type="paragraph" w:customStyle="1" w:styleId="TableHeading0">
    <w:name w:val="Table Heading"/>
    <w:basedOn w:val="Normal"/>
    <w:next w:val="Normal"/>
    <w:rsid w:val="00321DBE"/>
    <w:pPr>
      <w:keepNext/>
      <w:spacing w:before="40" w:after="40" w:line="312" w:lineRule="auto"/>
      <w:jc w:val="left"/>
    </w:pPr>
    <w:rPr>
      <w:rFonts w:ascii="Arial" w:eastAsia="Times New Roman" w:hAnsi="Arial" w:cs="Tahoma"/>
      <w:b/>
      <w:sz w:val="18"/>
      <w:lang w:val="en-GB" w:eastAsia="en-US"/>
    </w:rPr>
  </w:style>
  <w:style w:type="character" w:customStyle="1" w:styleId="TableTextChar0">
    <w:name w:val="Table Text Char"/>
    <w:link w:val="TableText0"/>
    <w:rsid w:val="00321DBE"/>
    <w:rPr>
      <w:rFonts w:ascii="Arial Narrow" w:eastAsia="Times New Roman" w:hAnsi="Arial Narrow" w:cs="Arial"/>
      <w:sz w:val="18"/>
    </w:rPr>
  </w:style>
  <w:style w:type="paragraph" w:customStyle="1" w:styleId="Boxname">
    <w:name w:val="Box name"/>
    <w:basedOn w:val="TableName0"/>
    <w:link w:val="BoxnameChar"/>
    <w:rsid w:val="00321DBE"/>
  </w:style>
  <w:style w:type="character" w:customStyle="1" w:styleId="BoxnameChar">
    <w:name w:val="Box name Char"/>
    <w:basedOn w:val="TableNameChar0"/>
    <w:link w:val="Boxname"/>
    <w:rsid w:val="00321DBE"/>
    <w:rPr>
      <w:rFonts w:ascii="Arial Narrow" w:eastAsia="Times New Roman" w:hAnsi="Arial Narrow" w:cs="Tahoma"/>
      <w:b/>
      <w:sz w:val="20"/>
    </w:rPr>
  </w:style>
  <w:style w:type="paragraph" w:customStyle="1" w:styleId="StyleTableTextArialNarrowFirstline045cm">
    <w:name w:val="Style Table Text + Arial Narrow First line:  0.45 cm"/>
    <w:basedOn w:val="TableText0"/>
    <w:rsid w:val="00321DBE"/>
    <w:pPr>
      <w:keepNext/>
      <w:spacing w:before="40" w:after="360"/>
      <w:ind w:firstLine="720"/>
    </w:pPr>
    <w:rPr>
      <w:rFonts w:cs="Tahoma"/>
      <w:sz w:val="20"/>
      <w:lang w:eastAsia="en-US"/>
    </w:rPr>
  </w:style>
  <w:style w:type="paragraph" w:customStyle="1" w:styleId="TableNamea">
    <w:name w:val="Table Name(a)"/>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styleId="DocumentMap">
    <w:name w:val="Document Map"/>
    <w:basedOn w:val="Normal"/>
    <w:link w:val="DocumentMapChar"/>
    <w:rsid w:val="00321DBE"/>
    <w:pPr>
      <w:spacing w:after="240" w:line="312" w:lineRule="auto"/>
      <w:jc w:val="left"/>
    </w:pPr>
    <w:rPr>
      <w:rFonts w:ascii="Calibri" w:eastAsia="Times New Roman" w:hAnsi="Calibri" w:cs="Tahoma"/>
      <w:sz w:val="16"/>
      <w:szCs w:val="16"/>
    </w:rPr>
  </w:style>
  <w:style w:type="character" w:customStyle="1" w:styleId="DocumentMapChar">
    <w:name w:val="Document Map Char"/>
    <w:basedOn w:val="DefaultParagraphFont"/>
    <w:link w:val="DocumentMap"/>
    <w:rsid w:val="00321DBE"/>
    <w:rPr>
      <w:rFonts w:ascii="Calibri" w:eastAsia="Times New Roman" w:hAnsi="Calibri" w:cs="Tahoma"/>
      <w:sz w:val="16"/>
      <w:szCs w:val="16"/>
    </w:rPr>
  </w:style>
  <w:style w:type="paragraph" w:customStyle="1" w:styleId="figureheading">
    <w:name w:val="figure heading"/>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customStyle="1" w:styleId="Nnumberedlist">
    <w:name w:val="Nnumbered list"/>
    <w:basedOn w:val="Normal"/>
    <w:rsid w:val="00321DBE"/>
    <w:pPr>
      <w:numPr>
        <w:numId w:val="26"/>
      </w:numPr>
      <w:spacing w:after="240" w:line="312" w:lineRule="auto"/>
      <w:jc w:val="left"/>
    </w:pPr>
    <w:rPr>
      <w:rFonts w:ascii="Calibri" w:eastAsia="Times New Roman" w:hAnsi="Calibri" w:cs="Tahoma"/>
      <w:sz w:val="22"/>
    </w:rPr>
  </w:style>
  <w:style w:type="paragraph" w:customStyle="1" w:styleId="Figure">
    <w:name w:val="Figure"/>
    <w:basedOn w:val="TableName0"/>
    <w:rsid w:val="00321DBE"/>
    <w:pPr>
      <w:spacing w:before="120" w:after="120"/>
      <w:ind w:left="1800" w:hanging="1080"/>
    </w:pPr>
  </w:style>
  <w:style w:type="paragraph" w:customStyle="1" w:styleId="Equation">
    <w:name w:val="Equation"/>
    <w:basedOn w:val="Header"/>
    <w:rsid w:val="00321DBE"/>
    <w:pPr>
      <w:tabs>
        <w:tab w:val="clear" w:pos="4513"/>
        <w:tab w:val="clear" w:pos="9026"/>
      </w:tabs>
      <w:spacing w:after="240" w:line="312" w:lineRule="auto"/>
      <w:jc w:val="left"/>
    </w:pPr>
    <w:rPr>
      <w:rFonts w:ascii="Arial Narrow" w:eastAsia="Times New Roman" w:hAnsi="Arial Narrow" w:cs="Tahoma"/>
      <w:sz w:val="20"/>
    </w:rPr>
  </w:style>
  <w:style w:type="paragraph" w:customStyle="1" w:styleId="AHTAaddresslines">
    <w:name w:val="AHTA address lines"/>
    <w:basedOn w:val="PlainText"/>
    <w:rsid w:val="00321DBE"/>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321DBE"/>
    <w:pPr>
      <w:spacing w:after="0" w:line="312" w:lineRule="auto"/>
      <w:jc w:val="left"/>
    </w:pPr>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321DBE"/>
    <w:rPr>
      <w:rFonts w:ascii="Courier New" w:eastAsia="Times New Roman" w:hAnsi="Courier New" w:cs="Courier New"/>
      <w:sz w:val="20"/>
      <w:lang w:eastAsia="en-US"/>
    </w:rPr>
  </w:style>
  <w:style w:type="character" w:customStyle="1" w:styleId="regulartext">
    <w:name w:val="regulartext"/>
    <w:basedOn w:val="DefaultParagraphFont"/>
    <w:rsid w:val="00321DBE"/>
  </w:style>
  <w:style w:type="paragraph" w:customStyle="1" w:styleId="bodytext0">
    <w:name w:val="bodytext"/>
    <w:basedOn w:val="Normal"/>
    <w:rsid w:val="00321DBE"/>
    <w:pPr>
      <w:spacing w:before="100" w:beforeAutospacing="1" w:after="100" w:afterAutospacing="1" w:line="312" w:lineRule="auto"/>
      <w:jc w:val="left"/>
    </w:pPr>
    <w:rPr>
      <w:rFonts w:ascii="Times New Roman" w:eastAsia="Times New Roman" w:hAnsi="Times New Roman" w:cs="Tahoma"/>
      <w:sz w:val="22"/>
      <w:szCs w:val="24"/>
    </w:rPr>
  </w:style>
  <w:style w:type="character" w:customStyle="1" w:styleId="mainsubheader1">
    <w:name w:val="mainsubheader1"/>
    <w:rsid w:val="00321DBE"/>
    <w:rPr>
      <w:b/>
      <w:bCs/>
    </w:rPr>
  </w:style>
  <w:style w:type="paragraph" w:customStyle="1" w:styleId="Bullet12">
    <w:name w:val="Bullet+12"/>
    <w:basedOn w:val="Normal"/>
    <w:rsid w:val="00321DBE"/>
    <w:pPr>
      <w:tabs>
        <w:tab w:val="num" w:pos="357"/>
      </w:tabs>
      <w:spacing w:after="240" w:line="312" w:lineRule="auto"/>
      <w:ind w:left="357" w:hanging="357"/>
      <w:jc w:val="left"/>
    </w:pPr>
    <w:rPr>
      <w:rFonts w:ascii="Times New Roman" w:eastAsia="Times New Roman" w:hAnsi="Times New Roman" w:cs="Tahoma"/>
      <w:sz w:val="22"/>
      <w:lang w:eastAsia="en-US"/>
    </w:rPr>
  </w:style>
  <w:style w:type="paragraph" w:customStyle="1" w:styleId="Bullet6">
    <w:name w:val="Bullet+6"/>
    <w:basedOn w:val="Normal"/>
    <w:rsid w:val="00321DBE"/>
    <w:pPr>
      <w:tabs>
        <w:tab w:val="num" w:pos="578"/>
      </w:tabs>
      <w:spacing w:after="0" w:line="312" w:lineRule="auto"/>
      <w:ind w:left="578" w:hanging="360"/>
      <w:jc w:val="left"/>
    </w:pPr>
    <w:rPr>
      <w:rFonts w:ascii="Times New Roman" w:eastAsia="Times New Roman" w:hAnsi="Times New Roman" w:cs="Tahoma"/>
      <w:sz w:val="22"/>
      <w:szCs w:val="24"/>
    </w:rPr>
  </w:style>
  <w:style w:type="table" w:styleId="TableClassic1">
    <w:name w:val="Table Classic 1"/>
    <w:basedOn w:val="TableNormal"/>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Normal"/>
    <w:rsid w:val="00321DBE"/>
    <w:pPr>
      <w:tabs>
        <w:tab w:val="left" w:pos="720"/>
      </w:tabs>
      <w:spacing w:after="0" w:line="240" w:lineRule="auto"/>
      <w:jc w:val="left"/>
    </w:pPr>
    <w:rPr>
      <w:rFonts w:ascii="Bookman Old Style" w:eastAsia="Times New Roman" w:hAnsi="Bookman Old Style" w:cs="Times New Roman"/>
      <w:sz w:val="20"/>
      <w:szCs w:val="20"/>
      <w:lang w:val="en-US" w:eastAsia="en-US"/>
    </w:rPr>
  </w:style>
  <w:style w:type="character" w:customStyle="1" w:styleId="st1">
    <w:name w:val="st1"/>
    <w:basedOn w:val="DefaultParagraphFont"/>
    <w:rsid w:val="00321DBE"/>
  </w:style>
  <w:style w:type="table" w:customStyle="1" w:styleId="TableGrid11">
    <w:name w:val="Table Grid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val="0"/>
        <w:sz w:val="20"/>
      </w:rPr>
    </w:tblStylePr>
  </w:style>
  <w:style w:type="paragraph" w:customStyle="1" w:styleId="desc">
    <w:name w:val="desc"/>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paragraph" w:customStyle="1" w:styleId="details">
    <w:name w:val="details"/>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character" w:customStyle="1" w:styleId="jrnl">
    <w:name w:val="jrnl"/>
    <w:basedOn w:val="DefaultParagraphFont"/>
    <w:rsid w:val="00321DBE"/>
  </w:style>
  <w:style w:type="character" w:customStyle="1" w:styleId="A5">
    <w:name w:val="A5"/>
    <w:uiPriority w:val="99"/>
    <w:rsid w:val="00321DBE"/>
    <w:rPr>
      <w:rFonts w:cs="Humanist 77 7 BT"/>
      <w:color w:val="000000"/>
      <w:sz w:val="11"/>
      <w:szCs w:val="11"/>
    </w:rPr>
  </w:style>
  <w:style w:type="paragraph" w:customStyle="1" w:styleId="TOCHeading1">
    <w:name w:val="TOC Heading1"/>
    <w:basedOn w:val="Heading1"/>
    <w:next w:val="Normal"/>
    <w:uiPriority w:val="39"/>
    <w:unhideWhenUsed/>
    <w:qFormat/>
    <w:rsid w:val="00321DBE"/>
    <w:pPr>
      <w:spacing w:before="480" w:after="0"/>
      <w:jc w:val="left"/>
      <w:outlineLvl w:val="9"/>
    </w:pPr>
    <w:rPr>
      <w:rFonts w:ascii="Cambria" w:eastAsia="MS Gothic" w:hAnsi="Cambria" w:cs="Times New Roman"/>
      <w:smallCaps/>
      <w:color w:val="365F91"/>
      <w:sz w:val="28"/>
      <w:szCs w:val="28"/>
      <w:lang w:val="en-US" w:eastAsia="en-US"/>
    </w:rPr>
  </w:style>
  <w:style w:type="character" w:customStyle="1" w:styleId="highlight">
    <w:name w:val="highlight"/>
    <w:basedOn w:val="DefaultParagraphFont"/>
    <w:rsid w:val="00321DBE"/>
  </w:style>
  <w:style w:type="paragraph" w:customStyle="1" w:styleId="ESSectionHeading-numbered0">
    <w:name w:val="ES. Section Heading - numbered"/>
    <w:basedOn w:val="Heading3"/>
    <w:link w:val="ESSectionHeading-numberedChar"/>
    <w:rsid w:val="00321DBE"/>
    <w:pPr>
      <w:keepLines w:val="0"/>
      <w:numPr>
        <w:numId w:val="28"/>
      </w:numPr>
      <w:spacing w:before="240" w:after="120" w:line="312" w:lineRule="auto"/>
      <w:jc w:val="left"/>
    </w:pPr>
    <w:rPr>
      <w:rFonts w:ascii="Calibri" w:eastAsia="Times New Roman" w:hAnsi="Calibri" w:cs="Tahoma"/>
      <w:bCs w:val="0"/>
      <w:smallCaps/>
      <w:szCs w:val="24"/>
      <w:lang w:eastAsia="en-US"/>
    </w:rPr>
  </w:style>
  <w:style w:type="paragraph" w:customStyle="1" w:styleId="MainBodySectionHeading-numbered">
    <w:name w:val="Main Body Section Heading - numbered"/>
    <w:basedOn w:val="Heading2"/>
    <w:link w:val="MainBodySectionHeading-numberedChar"/>
    <w:rsid w:val="00321DBE"/>
    <w:pPr>
      <w:keepLines w:val="0"/>
      <w:numPr>
        <w:numId w:val="27"/>
      </w:numPr>
      <w:spacing w:before="0" w:after="120" w:line="240" w:lineRule="auto"/>
      <w:ind w:left="567" w:hanging="567"/>
      <w:jc w:val="left"/>
    </w:pPr>
    <w:rPr>
      <w:rFonts w:ascii="Arial Narrow" w:eastAsia="Times New Roman" w:hAnsi="Arial Narrow" w:cs="Tahoma"/>
      <w:color w:val="4F81BD"/>
      <w:lang w:eastAsia="en-US"/>
    </w:rPr>
  </w:style>
  <w:style w:type="character" w:customStyle="1" w:styleId="ESSectionHeading-numberedChar">
    <w:name w:val="ES. Section Heading - numbered Char"/>
    <w:basedOn w:val="Heading3Char"/>
    <w:link w:val="ESSectionHeading-numbered0"/>
    <w:rsid w:val="00321DBE"/>
    <w:rPr>
      <w:rFonts w:ascii="Calibri" w:eastAsia="Times New Roman" w:hAnsi="Calibri" w:cs="Tahoma"/>
      <w:b/>
      <w:bCs w:val="0"/>
      <w:i/>
      <w:smallCaps/>
      <w:sz w:val="30"/>
      <w:szCs w:val="24"/>
      <w:lang w:eastAsia="en-US"/>
    </w:rPr>
  </w:style>
  <w:style w:type="character" w:customStyle="1" w:styleId="MainBodySectionHeading-numberedChar">
    <w:name w:val="Main Body Section Heading - numbered Char"/>
    <w:basedOn w:val="Heading2Char"/>
    <w:link w:val="MainBodySectionHeading-numbered"/>
    <w:rsid w:val="00321DBE"/>
    <w:rPr>
      <w:rFonts w:ascii="Arial Narrow" w:eastAsia="Times New Roman" w:hAnsi="Arial Narrow" w:cs="Tahoma"/>
      <w:b/>
      <w:bCs/>
      <w:color w:val="4F81BD"/>
      <w:sz w:val="32"/>
      <w:szCs w:val="26"/>
      <w:lang w:eastAsia="en-US"/>
    </w:rPr>
  </w:style>
  <w:style w:type="paragraph" w:customStyle="1" w:styleId="Tablenotes0">
    <w:name w:val="Tablenotes"/>
    <w:basedOn w:val="Normal"/>
    <w:link w:val="TablenotesChar0"/>
    <w:qFormat/>
    <w:rsid w:val="00321DBE"/>
    <w:pPr>
      <w:widowControl w:val="0"/>
      <w:spacing w:before="40" w:after="240" w:line="240" w:lineRule="auto"/>
    </w:pPr>
    <w:rPr>
      <w:rFonts w:ascii="Arial Narrow" w:eastAsia="SimSun" w:hAnsi="Arial Narrow" w:cs="Arial"/>
      <w:snapToGrid w:val="0"/>
      <w:sz w:val="20"/>
      <w:szCs w:val="20"/>
      <w:lang w:eastAsia="en-US"/>
    </w:rPr>
  </w:style>
  <w:style w:type="character" w:customStyle="1" w:styleId="TablenotesChar0">
    <w:name w:val="Tablenotes Char"/>
    <w:basedOn w:val="DefaultParagraphFont"/>
    <w:link w:val="Tablenotes0"/>
    <w:rsid w:val="00321DBE"/>
    <w:rPr>
      <w:rFonts w:ascii="Arial Narrow" w:eastAsia="SimSun" w:hAnsi="Arial Narrow" w:cs="Arial"/>
      <w:snapToGrid w:val="0"/>
      <w:sz w:val="20"/>
      <w:szCs w:val="20"/>
      <w:lang w:eastAsia="en-US"/>
    </w:rPr>
  </w:style>
  <w:style w:type="paragraph" w:customStyle="1" w:styleId="TableNotes18">
    <w:name w:val="TableNotes+18"/>
    <w:basedOn w:val="TableText2"/>
    <w:uiPriority w:val="99"/>
    <w:rsid w:val="00321DBE"/>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321DBE"/>
    <w:pPr>
      <w:keepNext/>
      <w:spacing w:after="0"/>
    </w:pPr>
  </w:style>
  <w:style w:type="paragraph" w:customStyle="1" w:styleId="TFAbbrevs0">
    <w:name w:val="TFAbbrevs+0"/>
    <w:basedOn w:val="Normal"/>
    <w:qFormat/>
    <w:rsid w:val="00321DBE"/>
    <w:pPr>
      <w:keepNext/>
      <w:keepLines/>
      <w:spacing w:after="0" w:line="240" w:lineRule="auto"/>
      <w:jc w:val="left"/>
    </w:pPr>
    <w:rPr>
      <w:rFonts w:ascii="Arial Narrow" w:eastAsia="Times New Roman" w:hAnsi="Arial Narrow" w:cs="Times New Roman"/>
      <w:color w:val="000000"/>
      <w:sz w:val="18"/>
      <w:szCs w:val="18"/>
    </w:rPr>
  </w:style>
  <w:style w:type="paragraph" w:customStyle="1" w:styleId="TFAbbrevs18">
    <w:name w:val="TFAbbrevs+18"/>
    <w:basedOn w:val="TFAbbrevs0"/>
    <w:next w:val="Normal"/>
    <w:qFormat/>
    <w:rsid w:val="00321DBE"/>
    <w:pPr>
      <w:spacing w:after="360"/>
    </w:pPr>
  </w:style>
  <w:style w:type="paragraph" w:customStyle="1" w:styleId="Comment">
    <w:name w:val="Comment"/>
    <w:basedOn w:val="Normal"/>
    <w:link w:val="CommentChar"/>
    <w:rsid w:val="00321DBE"/>
    <w:pPr>
      <w:tabs>
        <w:tab w:val="num" w:pos="720"/>
      </w:tabs>
      <w:spacing w:after="240" w:line="312" w:lineRule="auto"/>
    </w:pPr>
    <w:rPr>
      <w:rFonts w:ascii="Calibri" w:eastAsia="Times New Roman" w:hAnsi="Calibri" w:cs="Tahoma"/>
      <w:i/>
      <w:sz w:val="22"/>
    </w:rPr>
  </w:style>
  <w:style w:type="character" w:customStyle="1" w:styleId="CommentChar">
    <w:name w:val="Comment Char"/>
    <w:basedOn w:val="DefaultParagraphFont"/>
    <w:link w:val="Comment"/>
    <w:rsid w:val="00321DBE"/>
    <w:rPr>
      <w:rFonts w:ascii="Calibri" w:eastAsia="Times New Roman" w:hAnsi="Calibri" w:cs="Tahoma"/>
      <w:i/>
      <w:sz w:val="22"/>
    </w:rPr>
  </w:style>
  <w:style w:type="paragraph" w:customStyle="1" w:styleId="hidden">
    <w:name w:val="hidden"/>
    <w:basedOn w:val="Normal"/>
    <w:qFormat/>
    <w:rsid w:val="00321DBE"/>
    <w:pPr>
      <w:spacing w:after="240" w:line="312" w:lineRule="auto"/>
      <w:jc w:val="left"/>
    </w:pPr>
    <w:rPr>
      <w:rFonts w:ascii="Calibri" w:eastAsia="Times New Roman" w:hAnsi="Calibri" w:cs="Tahoma"/>
      <w:sz w:val="22"/>
    </w:rPr>
  </w:style>
  <w:style w:type="paragraph" w:customStyle="1" w:styleId="Guidelines">
    <w:name w:val="Guidelines"/>
    <w:basedOn w:val="Normal"/>
    <w:link w:val="GuidelinesChar"/>
    <w:qFormat/>
    <w:rsid w:val="00321DBE"/>
    <w:pPr>
      <w:spacing w:after="240" w:line="312" w:lineRule="auto"/>
    </w:pPr>
    <w:rPr>
      <w:rFonts w:ascii="Calibri" w:eastAsia="Times New Roman" w:hAnsi="Calibri" w:cs="Tahoma"/>
      <w:vanish/>
      <w:color w:val="C00000"/>
      <w:sz w:val="22"/>
    </w:rPr>
  </w:style>
  <w:style w:type="character" w:customStyle="1" w:styleId="GuidelinesChar">
    <w:name w:val="Guidelines Char"/>
    <w:basedOn w:val="DefaultParagraphFont"/>
    <w:link w:val="Guidelines"/>
    <w:rsid w:val="00321DBE"/>
    <w:rPr>
      <w:rFonts w:ascii="Calibri" w:eastAsia="Times New Roman" w:hAnsi="Calibri" w:cs="Tahoma"/>
      <w:vanish/>
      <w:color w:val="C00000"/>
      <w:sz w:val="22"/>
    </w:rPr>
  </w:style>
  <w:style w:type="table" w:customStyle="1" w:styleId="TableGrid51">
    <w:name w:val="Table Grid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
    <w:name w:val="Table font"/>
    <w:basedOn w:val="Normal"/>
    <w:link w:val="TablefontChar"/>
    <w:qFormat/>
    <w:rsid w:val="00321DBE"/>
    <w:pPr>
      <w:spacing w:before="120" w:after="120" w:line="240" w:lineRule="auto"/>
      <w:jc w:val="left"/>
    </w:pPr>
    <w:rPr>
      <w:rFonts w:ascii="Arial Narrow" w:eastAsia="Calibri" w:hAnsi="Arial Narrow" w:cs="Times New Roman"/>
      <w:sz w:val="18"/>
      <w:lang w:eastAsia="en-US"/>
    </w:rPr>
  </w:style>
  <w:style w:type="character" w:customStyle="1" w:styleId="TablefontChar">
    <w:name w:val="Table font Char"/>
    <w:basedOn w:val="DefaultParagraphFont"/>
    <w:link w:val="Tablefont"/>
    <w:rsid w:val="00321DBE"/>
    <w:rPr>
      <w:rFonts w:ascii="Arial Narrow" w:eastAsia="Calibri" w:hAnsi="Arial Narrow" w:cs="Times New Roman"/>
      <w:sz w:val="18"/>
      <w:lang w:eastAsia="en-US"/>
    </w:rPr>
  </w:style>
  <w:style w:type="character" w:customStyle="1" w:styleId="label">
    <w:name w:val="label"/>
    <w:basedOn w:val="DefaultParagraphFont"/>
    <w:rsid w:val="00321DBE"/>
  </w:style>
  <w:style w:type="character" w:customStyle="1" w:styleId="quality-sign">
    <w:name w:val="quality-sign"/>
    <w:basedOn w:val="DefaultParagraphFont"/>
    <w:rsid w:val="00321DBE"/>
  </w:style>
  <w:style w:type="table" w:customStyle="1" w:styleId="TableGrid52">
    <w:name w:val="Table Grid5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left">
    <w:name w:val="Table Text 1 (left)"/>
    <w:basedOn w:val="Normal"/>
    <w:link w:val="TableText1leftChar"/>
    <w:qFormat/>
    <w:rsid w:val="00532B79"/>
    <w:pPr>
      <w:spacing w:before="40" w:after="40" w:line="240" w:lineRule="auto"/>
      <w:jc w:val="left"/>
    </w:pPr>
    <w:rPr>
      <w:rFonts w:ascii="Arial" w:eastAsia="SimSun" w:hAnsi="Arial" w:cs="Calibri"/>
      <w:sz w:val="20"/>
      <w:szCs w:val="20"/>
      <w:lang w:val="en-GB" w:eastAsia="en-US"/>
    </w:rPr>
  </w:style>
  <w:style w:type="character" w:customStyle="1" w:styleId="TableText1leftChar">
    <w:name w:val="Table Text 1 (left) Char"/>
    <w:link w:val="TableText1left"/>
    <w:locked/>
    <w:rsid w:val="00532B79"/>
    <w:rPr>
      <w:rFonts w:ascii="Arial" w:eastAsia="SimSun" w:hAnsi="Arial" w:cs="Calibri"/>
      <w:sz w:val="20"/>
      <w:szCs w:val="20"/>
      <w:lang w:val="en-GB" w:eastAsia="en-US"/>
    </w:rPr>
  </w:style>
  <w:style w:type="table" w:customStyle="1" w:styleId="TableGrid581">
    <w:name w:val="Table Grid58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numbering" w:customStyle="1" w:styleId="NoList11">
    <w:name w:val="No List11"/>
    <w:next w:val="NoList"/>
    <w:uiPriority w:val="99"/>
    <w:semiHidden/>
    <w:unhideWhenUsed/>
    <w:rsid w:val="00321DBE"/>
  </w:style>
  <w:style w:type="table" w:customStyle="1" w:styleId="TableGrid12">
    <w:name w:val="Table Grid12"/>
    <w:basedOn w:val="TableNormal"/>
    <w:next w:val="TableGrid"/>
    <w:uiPriority w:val="59"/>
    <w:rsid w:val="00321DBE"/>
    <w:pPr>
      <w:spacing w:before="40" w:after="40" w:line="240" w:lineRule="auto"/>
    </w:pPr>
    <w:rPr>
      <w:rFonts w:ascii="Calibri" w:eastAsia="Times New Roman" w:hAnsi="Calibri"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
    <w:name w:val="Table Grid51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1DBE"/>
    <w:pPr>
      <w:numPr>
        <w:numId w:val="29"/>
      </w:numPr>
      <w:spacing w:after="0" w:line="240" w:lineRule="auto"/>
      <w:contextualSpacing/>
      <w:jc w:val="left"/>
    </w:pPr>
    <w:rPr>
      <w:rFonts w:ascii="Times New Roman" w:eastAsia="Times New Roman" w:hAnsi="Times New Roman" w:cs="Times New Roman"/>
      <w:szCs w:val="20"/>
      <w:lang w:eastAsia="en-US"/>
    </w:rPr>
  </w:style>
  <w:style w:type="paragraph" w:customStyle="1" w:styleId="TableTextDusc">
    <w:name w:val="Table Text _Dusc"/>
    <w:basedOn w:val="Normal"/>
    <w:link w:val="TableTextDuscChar"/>
    <w:qFormat/>
    <w:rsid w:val="00AA4B84"/>
    <w:pPr>
      <w:autoSpaceDE w:val="0"/>
      <w:autoSpaceDN w:val="0"/>
      <w:adjustRightInd w:val="0"/>
      <w:spacing w:before="60" w:after="60" w:line="240" w:lineRule="auto"/>
      <w:jc w:val="left"/>
    </w:pPr>
    <w:rPr>
      <w:rFonts w:ascii="Arial" w:eastAsia="MS Mincho" w:hAnsi="Arial" w:cs="Calibri"/>
      <w:sz w:val="20"/>
      <w:szCs w:val="20"/>
    </w:rPr>
  </w:style>
  <w:style w:type="character" w:customStyle="1" w:styleId="TableTextDuscChar">
    <w:name w:val="Table Text _Dusc Char"/>
    <w:basedOn w:val="DefaultParagraphFont"/>
    <w:link w:val="TableTextDusc"/>
    <w:rsid w:val="00AA4B84"/>
    <w:rPr>
      <w:rFonts w:ascii="Arial" w:eastAsia="MS Mincho" w:hAnsi="Arial" w:cs="Calibri"/>
      <w:sz w:val="20"/>
      <w:szCs w:val="20"/>
    </w:rPr>
  </w:style>
  <w:style w:type="paragraph" w:customStyle="1" w:styleId="MDSubsubheding">
    <w:name w:val="MD_Sub sub heding"/>
    <w:basedOn w:val="Heading3"/>
    <w:next w:val="Normal"/>
    <w:qFormat/>
    <w:rsid w:val="00CD5644"/>
    <w:pPr>
      <w:spacing w:before="0" w:after="200" w:line="240" w:lineRule="auto"/>
      <w:jc w:val="left"/>
    </w:pPr>
    <w:rPr>
      <w:sz w:val="28"/>
      <w:szCs w:val="28"/>
    </w:rPr>
  </w:style>
  <w:style w:type="paragraph" w:customStyle="1" w:styleId="ToRText">
    <w:name w:val="ToR Text"/>
    <w:basedOn w:val="Normal"/>
    <w:link w:val="ToRTextChar"/>
    <w:qFormat/>
    <w:rsid w:val="004D7A6F"/>
    <w:pPr>
      <w:pBdr>
        <w:top w:val="single" w:sz="4" w:space="1" w:color="auto"/>
        <w:left w:val="single" w:sz="4" w:space="4" w:color="auto"/>
        <w:bottom w:val="single" w:sz="4" w:space="1" w:color="auto"/>
        <w:right w:val="single" w:sz="4" w:space="4" w:color="auto"/>
      </w:pBdr>
      <w:spacing w:line="240" w:lineRule="auto"/>
      <w:jc w:val="left"/>
    </w:pPr>
    <w:rPr>
      <w:rFonts w:cstheme="minorHAnsi"/>
      <w:b/>
      <w:color w:val="365F91" w:themeColor="accent1" w:themeShade="BF"/>
    </w:rPr>
  </w:style>
  <w:style w:type="character" w:customStyle="1" w:styleId="ToRTextChar">
    <w:name w:val="ToR Text Char"/>
    <w:basedOn w:val="DefaultParagraphFont"/>
    <w:link w:val="ToRText"/>
    <w:rsid w:val="004D7A6F"/>
    <w:rPr>
      <w:rFonts w:asciiTheme="minorHAnsi" w:hAnsiTheme="minorHAnsi" w:cstheme="minorHAnsi"/>
      <w:b/>
      <w:color w:val="365F91" w:themeColor="accent1" w:themeShade="BF"/>
    </w:rPr>
  </w:style>
  <w:style w:type="character" w:customStyle="1" w:styleId="TabletitleChar">
    <w:name w:val="Table title Char"/>
    <w:basedOn w:val="DefaultParagraphFont"/>
    <w:link w:val="Tabletitle"/>
    <w:locked/>
    <w:rsid w:val="00A2113B"/>
    <w:rPr>
      <w:rFonts w:ascii="Arial Narrow" w:eastAsia="Times New Roman" w:hAnsi="Arial Narrow" w:cs="Arial"/>
      <w:b/>
      <w:caps/>
      <w:color w:val="4B306A"/>
      <w:sz w:val="16"/>
      <w:szCs w:val="20"/>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52"/>
    <w:pPr>
      <w:jc w:val="both"/>
    </w:pPr>
    <w:rPr>
      <w:rFonts w:asciiTheme="minorHAnsi" w:hAnsiTheme="minorHAnsi"/>
    </w:rPr>
  </w:style>
  <w:style w:type="paragraph" w:styleId="Heading1">
    <w:name w:val="heading 1"/>
    <w:basedOn w:val="Heading2"/>
    <w:next w:val="Normal"/>
    <w:link w:val="Heading1Char"/>
    <w:qFormat/>
    <w:rsid w:val="004C215E"/>
    <w:pPr>
      <w:spacing w:before="0" w:after="120"/>
      <w:jc w:val="center"/>
      <w:outlineLvl w:val="0"/>
    </w:pPr>
  </w:style>
  <w:style w:type="paragraph" w:styleId="Heading2">
    <w:name w:val="heading 2"/>
    <w:basedOn w:val="Normal"/>
    <w:next w:val="Normal"/>
    <w:link w:val="Heading2Char"/>
    <w:unhideWhenUsed/>
    <w:qFormat/>
    <w:rsid w:val="00C56846"/>
    <w:pPr>
      <w:keepNext/>
      <w:keepLines/>
      <w:spacing w:before="480" w:after="24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nhideWhenUsed/>
    <w:qFormat/>
    <w:rsid w:val="003E2066"/>
    <w:pPr>
      <w:keepNext/>
      <w:keepLines/>
      <w:spacing w:before="300" w:after="0"/>
      <w:outlineLvl w:val="2"/>
    </w:pPr>
    <w:rPr>
      <w:rFonts w:eastAsiaTheme="majorEastAsia" w:cstheme="majorBidi"/>
      <w:b/>
      <w:bCs/>
      <w:i/>
      <w:sz w:val="30"/>
    </w:rPr>
  </w:style>
  <w:style w:type="paragraph" w:styleId="Heading4">
    <w:name w:val="heading 4"/>
    <w:basedOn w:val="Normal"/>
    <w:next w:val="Normal"/>
    <w:link w:val="Heading4Char"/>
    <w:unhideWhenUsed/>
    <w:qFormat/>
    <w:rsid w:val="001960CE"/>
    <w:pPr>
      <w:keepNext/>
      <w:keepLines/>
      <w:spacing w:before="240" w:after="120"/>
      <w:jc w:val="left"/>
      <w:outlineLvl w:val="3"/>
    </w:pPr>
    <w:rPr>
      <w:rFonts w:eastAsiaTheme="majorEastAsia" w:cstheme="majorBidi"/>
      <w:b/>
      <w:bCs/>
      <w:i/>
      <w:iCs/>
    </w:rPr>
  </w:style>
  <w:style w:type="paragraph" w:styleId="Heading5">
    <w:name w:val="heading 5"/>
    <w:basedOn w:val="Normal"/>
    <w:next w:val="Normal"/>
    <w:link w:val="Heading5Char"/>
    <w:unhideWhenUsed/>
    <w:qFormat/>
    <w:rsid w:val="00532B79"/>
    <w:pPr>
      <w:keepNext/>
      <w:keepLines/>
      <w:numPr>
        <w:ilvl w:val="4"/>
        <w:numId w:val="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 3"/>
    <w:basedOn w:val="Normal"/>
    <w:next w:val="Normal"/>
    <w:link w:val="Heading9Char"/>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15E"/>
    <w:rPr>
      <w:rFonts w:asciiTheme="majorHAnsi" w:eastAsiaTheme="majorEastAsia" w:hAnsiTheme="majorHAnsi" w:cstheme="majorBidi"/>
      <w:b/>
      <w:bCs/>
      <w:color w:val="4F81BD" w:themeColor="accent1"/>
      <w:sz w:val="32"/>
      <w:szCs w:val="26"/>
    </w:rPr>
  </w:style>
  <w:style w:type="character" w:customStyle="1" w:styleId="Heading2Char">
    <w:name w:val="Heading 2 Char"/>
    <w:basedOn w:val="DefaultParagraphFont"/>
    <w:link w:val="Heading2"/>
    <w:rsid w:val="00C56846"/>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3E2066"/>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qFormat/>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nhideWhenUsed/>
    <w:rsid w:val="00FF593A"/>
    <w:rPr>
      <w:b/>
      <w:bCs/>
    </w:rPr>
  </w:style>
  <w:style w:type="character" w:customStyle="1" w:styleId="CommentSubjectChar">
    <w:name w:val="Comment Subject Char"/>
    <w:basedOn w:val="CommentTextChar"/>
    <w:link w:val="CommentSubject"/>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rsid w:val="001960CE"/>
    <w:rPr>
      <w:rFonts w:asciiTheme="minorHAnsi" w:eastAsiaTheme="majorEastAsia" w:hAnsiTheme="minorHAnsi" w:cstheme="majorBidi"/>
      <w:b/>
      <w:bCs/>
      <w:i/>
      <w:iCs/>
    </w:rPr>
  </w:style>
  <w:style w:type="character" w:customStyle="1" w:styleId="Heading5Char">
    <w:name w:val="Heading 5 Char"/>
    <w:basedOn w:val="DefaultParagraphFont"/>
    <w:link w:val="Heading5"/>
    <w:rsid w:val="00532B79"/>
    <w:rPr>
      <w:rFonts w:asciiTheme="minorHAnsi" w:eastAsiaTheme="majorEastAsia" w:hAnsiTheme="minorHAnsi" w:cstheme="majorBidi"/>
      <w:color w:val="243F60" w:themeColor="accent1" w:themeShade="7F"/>
    </w:rPr>
  </w:style>
  <w:style w:type="character" w:customStyle="1" w:styleId="Heading6Char">
    <w:name w:val="Heading 6 Char"/>
    <w:basedOn w:val="DefaultParagraphFont"/>
    <w:link w:val="Heading6"/>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3 Char"/>
    <w:basedOn w:val="DefaultParagraphFont"/>
    <w:link w:val="Heading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qFormat/>
    <w:rsid w:val="00C34CDD"/>
    <w:pPr>
      <w:spacing w:after="100"/>
    </w:pPr>
  </w:style>
  <w:style w:type="paragraph" w:styleId="TOC2">
    <w:name w:val="toc 2"/>
    <w:basedOn w:val="Normal"/>
    <w:next w:val="Normal"/>
    <w:autoRedefine/>
    <w:uiPriority w:val="39"/>
    <w:unhideWhenUsed/>
    <w:qFormat/>
    <w:rsid w:val="00C34CDD"/>
    <w:pPr>
      <w:spacing w:after="100"/>
      <w:ind w:left="240"/>
    </w:pPr>
  </w:style>
  <w:style w:type="paragraph" w:styleId="TOC3">
    <w:name w:val="toc 3"/>
    <w:basedOn w:val="Normal"/>
    <w:next w:val="Normal"/>
    <w:autoRedefine/>
    <w:uiPriority w:val="39"/>
    <w:unhideWhenUsed/>
    <w:qFormat/>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DA60DB"/>
    <w:pPr>
      <w:spacing w:before="200" w:beforeAutospacing="0" w:after="0" w:afterAutospacing="0" w:line="23" w:lineRule="atLeast"/>
    </w:pPr>
    <w:rPr>
      <w:i/>
      <w:color w:val="000000"/>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DA60DB"/>
    <w:rPr>
      <w:rFonts w:ascii="Cambria" w:eastAsia="Times New Roman" w:hAnsi="Cambria" w:cs="Times New Roman"/>
      <w:i/>
      <w:color w:val="000000"/>
      <w:szCs w:val="24"/>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082A22"/>
    <w:rPr>
      <w:rFonts w:ascii="Calibri" w:eastAsia="Times New Roman" w:hAnsi="Calibri" w:cs="Times New Roman"/>
      <w:sz w:val="20"/>
      <w:szCs w:val="20"/>
      <w:lang w:eastAsia="en-AU"/>
    </w:rPr>
  </w:style>
  <w:style w:type="character" w:styleId="FootnoteReference">
    <w:name w:val="footnote reference"/>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rsid w:val="004C215E"/>
    <w:rPr>
      <w:rFonts w:ascii="Calibri" w:eastAsia="Times New Roman" w:hAnsi="Calibri" w:cs="Times New Roman"/>
      <w:i/>
      <w:iCs/>
      <w:color w:val="000000"/>
      <w:sz w:val="22"/>
    </w:rPr>
  </w:style>
  <w:style w:type="paragraph" w:styleId="EndnoteText">
    <w:name w:val="endnote text"/>
    <w:basedOn w:val="Normal"/>
    <w:link w:val="EndnoteTextChar"/>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082A22"/>
    <w:rPr>
      <w:rFonts w:ascii="Calibri" w:eastAsia="Times New Roman" w:hAnsi="Calibri" w:cs="Times New Roman"/>
      <w:sz w:val="20"/>
      <w:szCs w:val="20"/>
      <w:lang w:eastAsia="en-AU"/>
    </w:rPr>
  </w:style>
  <w:style w:type="character" w:styleId="EndnoteReference">
    <w:name w:val="endnote reference"/>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066EA1"/>
    <w:pPr>
      <w:spacing w:before="60" w:after="40" w:line="240" w:lineRule="auto"/>
    </w:pPr>
    <w:rPr>
      <w:rFonts w:eastAsia="Times New Roman"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link w:val="TabletitleChar"/>
    <w:qFormat/>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ExSTableHeader">
    <w:name w:val="ExS Table Header"/>
    <w:basedOn w:val="BodyText"/>
    <w:link w:val="ExSTableHeaderChar"/>
    <w:qFormat/>
    <w:rsid w:val="00DE5CA2"/>
    <w:pPr>
      <w:spacing w:before="240" w:after="0"/>
    </w:pPr>
    <w:rPr>
      <w:rFonts w:eastAsia="Calibri" w:cs="Arial"/>
      <w:b/>
      <w:sz w:val="22"/>
      <w:szCs w:val="24"/>
      <w:lang w:eastAsia="en-US"/>
    </w:rPr>
  </w:style>
  <w:style w:type="character" w:customStyle="1" w:styleId="ExSTableHeaderChar">
    <w:name w:val="ExS Table Header Char"/>
    <w:basedOn w:val="BodyTextChar0"/>
    <w:link w:val="ExSTableHeader"/>
    <w:rsid w:val="00DE5CA2"/>
    <w:rPr>
      <w:rFonts w:ascii="Cambria" w:eastAsia="Calibri" w:hAnsi="Cambria" w:cs="Arial"/>
      <w:b/>
      <w:sz w:val="22"/>
      <w:szCs w:val="24"/>
      <w:lang w:eastAsia="en-US"/>
    </w:rPr>
  </w:style>
  <w:style w:type="paragraph" w:styleId="BodyText">
    <w:name w:val="Body Text"/>
    <w:basedOn w:val="Normal"/>
    <w:link w:val="BodyTextChar0"/>
    <w:unhideWhenUsed/>
    <w:rsid w:val="00DE5CA2"/>
    <w:pPr>
      <w:spacing w:after="120"/>
    </w:pPr>
  </w:style>
  <w:style w:type="character" w:customStyle="1" w:styleId="BodyTextChar0">
    <w:name w:val="Body Text Char"/>
    <w:basedOn w:val="DefaultParagraphFont"/>
    <w:link w:val="BodyText"/>
    <w:rsid w:val="00DE5CA2"/>
    <w:rPr>
      <w:rFonts w:ascii="Cambria" w:hAnsi="Cambria"/>
    </w:rPr>
  </w:style>
  <w:style w:type="paragraph" w:customStyle="1" w:styleId="Bullettext">
    <w:name w:val="Bullet text"/>
    <w:link w:val="BullettextChar"/>
    <w:qFormat/>
    <w:rsid w:val="008C0BAD"/>
    <w:pPr>
      <w:numPr>
        <w:numId w:val="7"/>
      </w:numPr>
      <w:spacing w:before="120" w:after="60" w:line="240" w:lineRule="auto"/>
      <w:contextualSpacing/>
    </w:pPr>
    <w:rPr>
      <w:rFonts w:asciiTheme="minorHAnsi" w:eastAsia="Calibri" w:hAnsiTheme="minorHAnsi" w:cs="Times New Roman"/>
      <w:szCs w:val="24"/>
      <w:lang w:eastAsia="en-US"/>
    </w:rPr>
  </w:style>
  <w:style w:type="character" w:customStyle="1" w:styleId="BullettextChar">
    <w:name w:val="Bullet text Char"/>
    <w:link w:val="Bullettext"/>
    <w:rsid w:val="008C0BAD"/>
    <w:rPr>
      <w:rFonts w:asciiTheme="minorHAnsi" w:eastAsia="Calibri" w:hAnsiTheme="minorHAnsi" w:cs="Times New Roman"/>
      <w:szCs w:val="24"/>
      <w:lang w:eastAsia="en-US"/>
    </w:rPr>
  </w:style>
  <w:style w:type="paragraph" w:customStyle="1" w:styleId="Tabletext">
    <w:name w:val="Table text"/>
    <w:basedOn w:val="Normal"/>
    <w:link w:val="TabletextChar"/>
    <w:qFormat/>
    <w:rsid w:val="00505354"/>
    <w:pPr>
      <w:autoSpaceDE w:val="0"/>
      <w:autoSpaceDN w:val="0"/>
      <w:adjustRightInd w:val="0"/>
      <w:spacing w:before="60" w:after="60" w:line="240" w:lineRule="auto"/>
      <w:jc w:val="left"/>
    </w:pPr>
    <w:rPr>
      <w:rFonts w:ascii="Arial" w:eastAsiaTheme="minorEastAsia" w:hAnsi="Arial" w:cs="Calibri"/>
      <w:sz w:val="20"/>
      <w:szCs w:val="20"/>
    </w:rPr>
  </w:style>
  <w:style w:type="character" w:customStyle="1" w:styleId="TabletextChar">
    <w:name w:val="Table text Char"/>
    <w:basedOn w:val="DefaultParagraphFont"/>
    <w:link w:val="Tabletext"/>
    <w:rsid w:val="00505354"/>
    <w:rPr>
      <w:rFonts w:ascii="Arial" w:eastAsiaTheme="minorEastAsia" w:hAnsi="Arial" w:cs="Calibri"/>
      <w:sz w:val="20"/>
      <w:szCs w:val="20"/>
    </w:rPr>
  </w:style>
  <w:style w:type="paragraph" w:customStyle="1" w:styleId="05Tabletext">
    <w:name w:val="05 Table text"/>
    <w:next w:val="06Tabletextspacebefore"/>
    <w:qFormat/>
    <w:rsid w:val="00AD689E"/>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AD689E"/>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A94DF2"/>
    <w:pPr>
      <w:keepNext/>
      <w:spacing w:before="60" w:after="40" w:line="240" w:lineRule="auto"/>
      <w:ind w:left="57" w:right="57"/>
      <w:jc w:val="left"/>
    </w:pPr>
    <w:rPr>
      <w:rFonts w:eastAsia="Calibri" w:cs="Times New Roman"/>
      <w:b/>
      <w:szCs w:val="24"/>
      <w:lang w:eastAsia="en-US"/>
    </w:rPr>
  </w:style>
  <w:style w:type="paragraph" w:customStyle="1" w:styleId="ExSFigureHeader">
    <w:name w:val="ExS Figure Header"/>
    <w:basedOn w:val="BodyText"/>
    <w:link w:val="ExSFigureHeaderChar"/>
    <w:qFormat/>
    <w:rsid w:val="00A67D07"/>
    <w:pPr>
      <w:spacing w:before="240" w:after="0"/>
    </w:pPr>
    <w:rPr>
      <w:rFonts w:eastAsia="Calibri" w:cs="Times New Roman"/>
      <w:b/>
      <w:szCs w:val="24"/>
      <w:lang w:eastAsia="en-US"/>
    </w:rPr>
  </w:style>
  <w:style w:type="character" w:customStyle="1" w:styleId="ExSFigureHeaderChar">
    <w:name w:val="ExS Figure Header Char"/>
    <w:basedOn w:val="BodyTextChar0"/>
    <w:link w:val="ExSFigureHeader"/>
    <w:rsid w:val="00A67D07"/>
    <w:rPr>
      <w:rFonts w:ascii="Cambria" w:eastAsia="Calibri" w:hAnsi="Cambria" w:cs="Times New Roman"/>
      <w:b/>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066EA1"/>
    <w:rPr>
      <w:rFonts w:asciiTheme="minorHAnsi" w:eastAsia="Times New Roman" w:hAnsiTheme="minorHAnsi" w:cs="Times New Roman"/>
      <w:b/>
      <w:bCs/>
      <w:szCs w:val="18"/>
    </w:rPr>
  </w:style>
  <w:style w:type="paragraph" w:customStyle="1" w:styleId="ToR">
    <w:name w:val="ToR"/>
    <w:next w:val="BodyText"/>
    <w:qFormat/>
    <w:rsid w:val="00321DBE"/>
    <w:pPr>
      <w:tabs>
        <w:tab w:val="left" w:pos="794"/>
      </w:tabs>
      <w:spacing w:before="240" w:after="0"/>
      <w:jc w:val="both"/>
    </w:pPr>
    <w:rPr>
      <w:rFonts w:ascii="Cambria" w:eastAsia="Calibri" w:hAnsi="Cambria" w:cs="Times New Roman"/>
      <w:i/>
      <w:szCs w:val="24"/>
      <w:lang w:eastAsia="en-US"/>
    </w:rPr>
  </w:style>
  <w:style w:type="paragraph" w:customStyle="1" w:styleId="ToRsinboxwithhangingindent">
    <w:name w:val="ToRs in box with hanging indent"/>
    <w:qFormat/>
    <w:rsid w:val="00321DBE"/>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after="0"/>
      <w:ind w:left="1304" w:hanging="1304"/>
      <w:jc w:val="both"/>
    </w:pPr>
    <w:rPr>
      <w:rFonts w:ascii="Cambria" w:eastAsia="Calibri" w:hAnsi="Cambria" w:cs="Times New Roman"/>
      <w:szCs w:val="24"/>
      <w:lang w:eastAsia="en-US"/>
    </w:rPr>
  </w:style>
  <w:style w:type="paragraph" w:customStyle="1" w:styleId="ToRinbox">
    <w:name w:val="ToR in box"/>
    <w:basedOn w:val="ToRsinboxwithhangingindent"/>
    <w:qFormat/>
    <w:rsid w:val="00321DBE"/>
    <w:pPr>
      <w:pBdr>
        <w:top w:val="single" w:sz="4" w:space="6" w:color="auto"/>
        <w:bottom w:val="single" w:sz="4" w:space="6" w:color="auto"/>
      </w:pBdr>
      <w:tabs>
        <w:tab w:val="clear" w:pos="1304"/>
      </w:tabs>
      <w:ind w:left="0" w:firstLine="0"/>
    </w:pPr>
  </w:style>
  <w:style w:type="paragraph" w:customStyle="1" w:styleId="Bullettextsecondlevel">
    <w:name w:val="Bullet text second level"/>
    <w:qFormat/>
    <w:rsid w:val="00EA0855"/>
    <w:pPr>
      <w:numPr>
        <w:numId w:val="10"/>
      </w:numPr>
      <w:spacing w:after="0"/>
      <w:ind w:left="851" w:hanging="284"/>
      <w:jc w:val="both"/>
    </w:pPr>
    <w:rPr>
      <w:rFonts w:asciiTheme="minorHAnsi" w:eastAsia="Calibri" w:hAnsiTheme="minorHAnsi" w:cs="Times New Roman"/>
      <w:szCs w:val="24"/>
      <w:lang w:eastAsia="en-US"/>
    </w:rPr>
  </w:style>
  <w:style w:type="paragraph" w:customStyle="1" w:styleId="BodyTextnospacebefore">
    <w:name w:val="Body Text – no space before"/>
    <w:next w:val="BodyText"/>
    <w:qFormat/>
    <w:rsid w:val="000D735B"/>
    <w:pPr>
      <w:jc w:val="both"/>
    </w:pPr>
    <w:rPr>
      <w:rFonts w:asciiTheme="minorHAnsi" w:eastAsia="Calibri" w:hAnsiTheme="minorHAnsi" w:cs="Times New Roman"/>
      <w:szCs w:val="24"/>
      <w:lang w:eastAsia="en-US"/>
    </w:rPr>
  </w:style>
  <w:style w:type="paragraph" w:styleId="TableofAuthorities">
    <w:name w:val="table of authorities"/>
    <w:basedOn w:val="Normal"/>
    <w:next w:val="Normal"/>
    <w:uiPriority w:val="99"/>
    <w:semiHidden/>
    <w:unhideWhenUsed/>
    <w:rsid w:val="00321DBE"/>
    <w:pPr>
      <w:spacing w:before="240" w:after="0"/>
      <w:ind w:left="240" w:hanging="240"/>
    </w:pPr>
    <w:rPr>
      <w:rFonts w:eastAsia="Calibri" w:cs="Times New Roman"/>
      <w:szCs w:val="24"/>
      <w:lang w:eastAsia="en-US"/>
    </w:rPr>
  </w:style>
  <w:style w:type="paragraph" w:customStyle="1" w:styleId="10TableorFigurefootnote">
    <w:name w:val="10 Table or Figure footnote"/>
    <w:qFormat/>
    <w:rsid w:val="00321DBE"/>
    <w:pPr>
      <w:keepNext/>
      <w:spacing w:after="0" w:line="240" w:lineRule="auto"/>
    </w:pPr>
    <w:rPr>
      <w:rFonts w:ascii="Arial Narrow" w:eastAsia="Calibri" w:hAnsi="Arial Narrow" w:cs="Times New Roman"/>
      <w:sz w:val="16"/>
      <w:szCs w:val="24"/>
      <w:lang w:eastAsia="en-US"/>
    </w:rPr>
  </w:style>
  <w:style w:type="paragraph" w:customStyle="1" w:styleId="11TableorFigurefootnotenostick">
    <w:name w:val="11 Table or Figure footnote – no stick"/>
    <w:next w:val="BodyText"/>
    <w:qFormat/>
    <w:rsid w:val="00321DBE"/>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321DBE"/>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9Tablerightaligned">
    <w:name w:val="09 Table right aligned ($)"/>
    <w:qFormat/>
    <w:rsid w:val="00321DBE"/>
    <w:pPr>
      <w:spacing w:before="20" w:after="0" w:line="240" w:lineRule="auto"/>
      <w:ind w:left="57" w:right="170"/>
      <w:jc w:val="right"/>
    </w:pPr>
    <w:rPr>
      <w:rFonts w:ascii="Arial Narrow" w:eastAsia="Calibri" w:hAnsi="Arial Narrow" w:cs="Times New Roman"/>
      <w:sz w:val="18"/>
      <w:szCs w:val="24"/>
      <w:lang w:eastAsia="en-US"/>
    </w:rPr>
  </w:style>
  <w:style w:type="paragraph" w:customStyle="1" w:styleId="07Tablebullet">
    <w:name w:val="07 Table bullet"/>
    <w:qFormat/>
    <w:rsid w:val="00321DBE"/>
    <w:pPr>
      <w:numPr>
        <w:numId w:val="11"/>
      </w:numPr>
      <w:spacing w:after="0" w:line="240" w:lineRule="auto"/>
      <w:ind w:left="227" w:right="57" w:hanging="170"/>
    </w:pPr>
    <w:rPr>
      <w:rFonts w:ascii="Arial Narrow" w:eastAsia="Calibri" w:hAnsi="Arial Narrow" w:cs="Times New Roman"/>
      <w:sz w:val="18"/>
      <w:szCs w:val="24"/>
      <w:lang w:eastAsia="en-US"/>
    </w:rPr>
  </w:style>
  <w:style w:type="numbering" w:customStyle="1" w:styleId="Headings">
    <w:name w:val="Headings"/>
    <w:uiPriority w:val="99"/>
    <w:rsid w:val="00321DBE"/>
    <w:pPr>
      <w:numPr>
        <w:numId w:val="31"/>
      </w:numPr>
    </w:pPr>
  </w:style>
  <w:style w:type="paragraph" w:customStyle="1" w:styleId="Picturewithbox">
    <w:name w:val="Picture with box"/>
    <w:next w:val="11TableorFigurefootnotenostick"/>
    <w:qFormat/>
    <w:rsid w:val="00321DBE"/>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styleId="TableofFigures">
    <w:name w:val="table of figures"/>
    <w:aliases w:val="- TOC for list of Figures or Tables"/>
    <w:uiPriority w:val="99"/>
    <w:unhideWhenUsed/>
    <w:rsid w:val="00321DBE"/>
    <w:pPr>
      <w:spacing w:after="0" w:line="240" w:lineRule="auto"/>
      <w:ind w:left="1418" w:right="567" w:hanging="1418"/>
    </w:pPr>
    <w:rPr>
      <w:rFonts w:ascii="Cambria" w:eastAsia="Calibri" w:hAnsi="Cambria" w:cs="Times New Roman"/>
      <w:szCs w:val="24"/>
      <w:lang w:eastAsia="en-US"/>
    </w:rPr>
  </w:style>
  <w:style w:type="paragraph" w:customStyle="1" w:styleId="Titlepage">
    <w:name w:val="Title page"/>
    <w:qFormat/>
    <w:rsid w:val="00321DBE"/>
    <w:pPr>
      <w:spacing w:before="120" w:after="0"/>
      <w:jc w:val="center"/>
    </w:pPr>
    <w:rPr>
      <w:rFonts w:ascii="Cambria" w:eastAsia="Calibri" w:hAnsi="Cambria" w:cs="Times New Roman"/>
      <w:sz w:val="40"/>
      <w:szCs w:val="40"/>
      <w:lang w:eastAsia="en-US"/>
    </w:rPr>
  </w:style>
  <w:style w:type="paragraph" w:styleId="TOAHeading">
    <w:name w:val="toa heading"/>
    <w:basedOn w:val="Normal"/>
    <w:next w:val="Normal"/>
    <w:uiPriority w:val="99"/>
    <w:semiHidden/>
    <w:unhideWhenUsed/>
    <w:rsid w:val="00321DBE"/>
    <w:pPr>
      <w:spacing w:before="240" w:after="0"/>
    </w:pPr>
    <w:rPr>
      <w:rFonts w:asciiTheme="majorHAnsi" w:eastAsiaTheme="majorEastAsia" w:hAnsiTheme="majorHAnsi" w:cstheme="majorBidi"/>
      <w:b/>
      <w:bCs/>
      <w:szCs w:val="24"/>
      <w:lang w:eastAsia="en-US"/>
    </w:rPr>
  </w:style>
  <w:style w:type="paragraph" w:customStyle="1" w:styleId="TableorFigurefootnote">
    <w:name w:val="Table or Figure footnote"/>
    <w:next w:val="BodyText"/>
    <w:qFormat/>
    <w:rsid w:val="00321DBE"/>
    <w:pPr>
      <w:spacing w:after="240" w:line="240" w:lineRule="auto"/>
      <w:contextualSpacing/>
    </w:pPr>
    <w:rPr>
      <w:rFonts w:ascii="Garamond" w:eastAsia="Calibri" w:hAnsi="Garamond" w:cs="Times New Roman"/>
      <w:sz w:val="16"/>
      <w:lang w:eastAsia="en-US"/>
    </w:rPr>
  </w:style>
  <w:style w:type="paragraph" w:customStyle="1" w:styleId="08Tablebulletsecondlevel">
    <w:name w:val="08 Table bullet second level"/>
    <w:qFormat/>
    <w:rsid w:val="00321DBE"/>
    <w:pPr>
      <w:numPr>
        <w:numId w:val="13"/>
      </w:numPr>
      <w:spacing w:after="0" w:line="240" w:lineRule="auto"/>
      <w:ind w:left="397" w:hanging="170"/>
    </w:pPr>
    <w:rPr>
      <w:rFonts w:ascii="Arial Narrow" w:eastAsia="Calibri" w:hAnsi="Arial Narrow" w:cs="Times New Roman"/>
      <w:sz w:val="18"/>
      <w:szCs w:val="24"/>
      <w:lang w:eastAsia="en-US"/>
    </w:rPr>
  </w:style>
  <w:style w:type="paragraph" w:customStyle="1" w:styleId="03TableHEADINGrightaligned">
    <w:name w:val="03 Table HEADING right aligned ($)"/>
    <w:qFormat/>
    <w:rsid w:val="00321DBE"/>
    <w:pPr>
      <w:keepNext/>
      <w:spacing w:before="60" w:after="0" w:line="240" w:lineRule="auto"/>
      <w:ind w:left="57" w:right="170"/>
      <w:jc w:val="right"/>
    </w:pPr>
    <w:rPr>
      <w:rFonts w:ascii="Arial Narrow" w:eastAsia="Calibri" w:hAnsi="Arial Narrow" w:cs="Times New Roman"/>
      <w:b/>
      <w:sz w:val="18"/>
      <w:szCs w:val="24"/>
      <w:lang w:eastAsia="en-US"/>
    </w:rPr>
  </w:style>
  <w:style w:type="paragraph" w:customStyle="1" w:styleId="04Tablesubheading">
    <w:name w:val="04 Table subheading"/>
    <w:qFormat/>
    <w:rsid w:val="00321DBE"/>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FooterwithLandscape">
    <w:name w:val="Footer with # Landscape"/>
    <w:qFormat/>
    <w:rsid w:val="00321DBE"/>
    <w:pPr>
      <w:pBdr>
        <w:top w:val="single" w:sz="4" w:space="1" w:color="auto"/>
      </w:pBdr>
      <w:tabs>
        <w:tab w:val="right" w:pos="14572"/>
      </w:tabs>
      <w:spacing w:before="240" w:after="0" w:line="240" w:lineRule="auto"/>
    </w:pPr>
    <w:rPr>
      <w:rFonts w:ascii="Cambria" w:eastAsia="Calibri" w:hAnsi="Cambria" w:cs="Times New Roman"/>
      <w:sz w:val="20"/>
      <w:szCs w:val="24"/>
      <w:lang w:eastAsia="en-US"/>
    </w:rPr>
  </w:style>
  <w:style w:type="paragraph" w:customStyle="1" w:styleId="FooterwithPortrait">
    <w:name w:val="Footer with # Portrait"/>
    <w:basedOn w:val="FooterwithLandscape"/>
    <w:qFormat/>
    <w:rsid w:val="00321DBE"/>
    <w:pPr>
      <w:tabs>
        <w:tab w:val="clear" w:pos="14572"/>
        <w:tab w:val="right" w:pos="9639"/>
      </w:tabs>
    </w:pPr>
  </w:style>
  <w:style w:type="paragraph" w:customStyle="1" w:styleId="08Bulletsseriesofsentences">
    <w:name w:val="08. Bullets – series of sentences"/>
    <w:link w:val="08BulletsseriesofsentencesChar"/>
    <w:qFormat/>
    <w:rsid w:val="00FB060F"/>
    <w:pPr>
      <w:spacing w:before="120" w:after="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FB060F"/>
    <w:rPr>
      <w:rFonts w:asciiTheme="minorHAnsi" w:eastAsia="Calibri" w:hAnsiTheme="minorHAnsi" w:cs="Times New Roman"/>
      <w:lang w:eastAsia="en-US"/>
    </w:rPr>
  </w:style>
  <w:style w:type="numbering" w:customStyle="1" w:styleId="NoList1">
    <w:name w:val="No List1"/>
    <w:next w:val="NoList"/>
    <w:uiPriority w:val="99"/>
    <w:semiHidden/>
    <w:unhideWhenUsed/>
    <w:rsid w:val="00321DBE"/>
  </w:style>
  <w:style w:type="numbering" w:customStyle="1" w:styleId="Numberedlist">
    <w:name w:val="Numbered list"/>
    <w:uiPriority w:val="99"/>
    <w:rsid w:val="00321DBE"/>
    <w:pPr>
      <w:numPr>
        <w:numId w:val="14"/>
      </w:numPr>
    </w:pPr>
  </w:style>
  <w:style w:type="numbering" w:styleId="111111">
    <w:name w:val="Outline List 2"/>
    <w:basedOn w:val="NoList"/>
    <w:uiPriority w:val="99"/>
    <w:semiHidden/>
    <w:unhideWhenUsed/>
    <w:rsid w:val="00321DBE"/>
    <w:pPr>
      <w:numPr>
        <w:numId w:val="15"/>
      </w:numPr>
    </w:pPr>
  </w:style>
  <w:style w:type="numbering" w:customStyle="1" w:styleId="NoList2">
    <w:name w:val="No List2"/>
    <w:next w:val="NoList"/>
    <w:uiPriority w:val="99"/>
    <w:semiHidden/>
    <w:unhideWhenUsed/>
    <w:rsid w:val="00321DBE"/>
  </w:style>
  <w:style w:type="numbering" w:customStyle="1" w:styleId="Numberedlist1">
    <w:name w:val="Numbered list1"/>
    <w:uiPriority w:val="99"/>
    <w:rsid w:val="00321DBE"/>
    <w:pPr>
      <w:numPr>
        <w:numId w:val="12"/>
      </w:numPr>
    </w:pPr>
  </w:style>
  <w:style w:type="numbering" w:customStyle="1" w:styleId="1111111">
    <w:name w:val="1 / 1.1 / 1.1.11"/>
    <w:basedOn w:val="NoList"/>
    <w:next w:val="111111"/>
    <w:uiPriority w:val="99"/>
    <w:semiHidden/>
    <w:unhideWhenUsed/>
    <w:rsid w:val="00321DBE"/>
    <w:pPr>
      <w:numPr>
        <w:numId w:val="16"/>
      </w:numPr>
    </w:pPr>
  </w:style>
  <w:style w:type="paragraph" w:customStyle="1" w:styleId="References">
    <w:name w:val="References"/>
    <w:qFormat/>
    <w:rsid w:val="00321DBE"/>
    <w:pPr>
      <w:spacing w:before="80" w:after="0" w:line="240" w:lineRule="auto"/>
      <w:ind w:left="284" w:hanging="284"/>
    </w:pPr>
    <w:rPr>
      <w:rFonts w:ascii="Cambria" w:eastAsia="Calibri" w:hAnsi="Cambria" w:cs="Times New Roman"/>
      <w:sz w:val="18"/>
      <w:szCs w:val="24"/>
      <w:lang w:eastAsia="en-US"/>
    </w:rPr>
  </w:style>
  <w:style w:type="character" w:styleId="IntenseEmphasis">
    <w:name w:val="Intense Emphasis"/>
    <w:basedOn w:val="DefaultParagraphFont"/>
    <w:uiPriority w:val="21"/>
    <w:qFormat/>
    <w:rsid w:val="00321DBE"/>
    <w:rPr>
      <w:b/>
      <w:bCs/>
      <w:i/>
      <w:iCs/>
      <w:color w:val="4F81BD" w:themeColor="accent1"/>
    </w:rPr>
  </w:style>
  <w:style w:type="paragraph" w:styleId="Subtitle">
    <w:name w:val="Subtitle"/>
    <w:basedOn w:val="Normal"/>
    <w:next w:val="Normal"/>
    <w:link w:val="SubtitleChar"/>
    <w:qFormat/>
    <w:rsid w:val="00321DBE"/>
    <w:pPr>
      <w:numPr>
        <w:ilvl w:val="1"/>
      </w:numPr>
      <w:spacing w:after="0" w:line="240" w:lineRule="auto"/>
      <w:jc w:val="left"/>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321DBE"/>
    <w:rPr>
      <w:rFonts w:asciiTheme="majorHAnsi" w:eastAsiaTheme="majorEastAsia" w:hAnsiTheme="majorHAnsi" w:cstheme="majorBidi"/>
      <w:iCs/>
      <w:spacing w:val="15"/>
      <w:szCs w:val="24"/>
      <w:lang w:eastAsia="en-US"/>
    </w:rPr>
  </w:style>
  <w:style w:type="paragraph" w:customStyle="1" w:styleId="HeaderTable">
    <w:name w:val="Header Table"/>
    <w:basedOn w:val="Caption"/>
    <w:link w:val="HeaderTableChar"/>
    <w:qFormat/>
    <w:rsid w:val="00321DBE"/>
    <w:pPr>
      <w:keepNext/>
      <w:spacing w:before="240"/>
      <w:ind w:left="1418" w:hanging="1418"/>
    </w:pPr>
    <w:rPr>
      <w:rFonts w:ascii="Arial" w:eastAsia="Calibri" w:hAnsi="Arial"/>
      <w:bCs w:val="0"/>
      <w:iCs/>
      <w:sz w:val="20"/>
      <w:lang w:eastAsia="en-US"/>
    </w:rPr>
  </w:style>
  <w:style w:type="paragraph" w:customStyle="1" w:styleId="HeaderFigure">
    <w:name w:val="Header Figure"/>
    <w:basedOn w:val="Caption"/>
    <w:link w:val="HeaderFigureChar"/>
    <w:qFormat/>
    <w:rsid w:val="00321DBE"/>
    <w:pPr>
      <w:keepNext/>
      <w:spacing w:before="240"/>
      <w:ind w:left="1418" w:hanging="1418"/>
    </w:pPr>
    <w:rPr>
      <w:rFonts w:ascii="Arial" w:eastAsia="Calibri" w:hAnsi="Arial"/>
      <w:bCs w:val="0"/>
      <w:iCs/>
      <w:sz w:val="20"/>
      <w:lang w:eastAsia="en-US"/>
    </w:rPr>
  </w:style>
  <w:style w:type="character" w:customStyle="1" w:styleId="HeaderTableChar">
    <w:name w:val="Header Table Char"/>
    <w:basedOn w:val="CaptionChar"/>
    <w:link w:val="HeaderTable"/>
    <w:rsid w:val="00321DBE"/>
    <w:rPr>
      <w:rFonts w:ascii="Arial" w:eastAsia="Calibri" w:hAnsi="Arial" w:cs="Times New Roman"/>
      <w:b/>
      <w:bCs w:val="0"/>
      <w:iCs/>
      <w:sz w:val="20"/>
      <w:szCs w:val="18"/>
      <w:lang w:eastAsia="en-US"/>
    </w:rPr>
  </w:style>
  <w:style w:type="character" w:customStyle="1" w:styleId="HeaderFigureChar">
    <w:name w:val="Header Figure Char"/>
    <w:basedOn w:val="CaptionChar"/>
    <w:link w:val="HeaderFigure"/>
    <w:rsid w:val="00321DBE"/>
    <w:rPr>
      <w:rFonts w:ascii="Arial" w:eastAsia="Calibri" w:hAnsi="Arial" w:cs="Times New Roman"/>
      <w:b/>
      <w:bCs w:val="0"/>
      <w:iCs/>
      <w:sz w:val="20"/>
      <w:szCs w:val="18"/>
      <w:lang w:eastAsia="en-US"/>
    </w:rPr>
  </w:style>
  <w:style w:type="paragraph" w:customStyle="1" w:styleId="ToR3Tableheader">
    <w:name w:val="ToR3 Table header"/>
    <w:basedOn w:val="Caption"/>
    <w:link w:val="ToR3TableheaderChar"/>
    <w:qFormat/>
    <w:rsid w:val="00321DBE"/>
    <w:pPr>
      <w:keepNext/>
      <w:spacing w:before="240"/>
      <w:ind w:left="1418" w:hanging="1418"/>
    </w:pPr>
    <w:rPr>
      <w:rFonts w:ascii="Arial" w:eastAsia="Calibri" w:hAnsi="Arial"/>
      <w:bCs w:val="0"/>
      <w:iCs/>
      <w:sz w:val="20"/>
      <w:lang w:eastAsia="en-US"/>
    </w:rPr>
  </w:style>
  <w:style w:type="character" w:customStyle="1" w:styleId="ToR3TableheaderChar">
    <w:name w:val="ToR3 Table header Char"/>
    <w:basedOn w:val="DefaultParagraphFont"/>
    <w:link w:val="ToR3Tableheader"/>
    <w:rsid w:val="00321DBE"/>
    <w:rPr>
      <w:rFonts w:ascii="Arial" w:eastAsia="Calibri" w:hAnsi="Arial" w:cs="Times New Roman"/>
      <w:b/>
      <w:iCs/>
      <w:sz w:val="20"/>
      <w:szCs w:val="18"/>
      <w:lang w:eastAsia="en-US"/>
    </w:rPr>
  </w:style>
  <w:style w:type="paragraph" w:customStyle="1" w:styleId="Tablenote">
    <w:name w:val="Table note"/>
    <w:basedOn w:val="Normal"/>
    <w:link w:val="TablenoteChar"/>
    <w:qFormat/>
    <w:rsid w:val="00505354"/>
    <w:pPr>
      <w:spacing w:line="240" w:lineRule="auto"/>
      <w:contextualSpacing/>
    </w:pPr>
    <w:rPr>
      <w:rFonts w:ascii="Arial" w:eastAsiaTheme="minorEastAsia" w:hAnsi="Arial" w:cs="Baskerville"/>
      <w:sz w:val="18"/>
      <w:szCs w:val="20"/>
    </w:rPr>
  </w:style>
  <w:style w:type="character" w:customStyle="1" w:styleId="TablenoteChar">
    <w:name w:val="Table note Char"/>
    <w:basedOn w:val="DefaultParagraphFont"/>
    <w:link w:val="Tablenote"/>
    <w:rsid w:val="00505354"/>
    <w:rPr>
      <w:rFonts w:ascii="Arial" w:eastAsiaTheme="minorEastAsia" w:hAnsi="Arial" w:cs="Baskerville"/>
      <w:sz w:val="18"/>
      <w:szCs w:val="20"/>
    </w:rPr>
  </w:style>
  <w:style w:type="table" w:customStyle="1" w:styleId="TableGrid7">
    <w:name w:val="Table Grid7"/>
    <w:basedOn w:val="TableNormal"/>
    <w:next w:val="TableGrid"/>
    <w:uiPriority w:val="59"/>
    <w:rsid w:val="00321DBE"/>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ofreference">
    <w:name w:val="Term of reference"/>
    <w:basedOn w:val="Normal"/>
    <w:link w:val="TermofreferenceChar"/>
    <w:qFormat/>
    <w:rsid w:val="00321DBE"/>
    <w:pPr>
      <w:pBdr>
        <w:top w:val="single" w:sz="4" w:space="1" w:color="auto"/>
        <w:left w:val="single" w:sz="4" w:space="4" w:color="auto"/>
        <w:bottom w:val="single" w:sz="4" w:space="1" w:color="auto"/>
        <w:right w:val="single" w:sz="4" w:space="4" w:color="auto"/>
      </w:pBdr>
      <w:spacing w:line="240" w:lineRule="auto"/>
      <w:jc w:val="center"/>
    </w:pPr>
    <w:rPr>
      <w:rFonts w:ascii="Calibri" w:eastAsiaTheme="minorEastAsia" w:hAnsi="Calibri"/>
      <w:b/>
      <w:color w:val="365F91" w:themeColor="accent1" w:themeShade="BF"/>
      <w:szCs w:val="24"/>
    </w:rPr>
  </w:style>
  <w:style w:type="paragraph" w:customStyle="1" w:styleId="Tablename">
    <w:name w:val="Table name"/>
    <w:basedOn w:val="Caption"/>
    <w:link w:val="TablenameChar"/>
    <w:qFormat/>
    <w:rsid w:val="00321DBE"/>
    <w:pPr>
      <w:keepNext/>
      <w:spacing w:after="60"/>
      <w:jc w:val="left"/>
    </w:pPr>
    <w:rPr>
      <w:rFonts w:ascii="Calibri" w:eastAsiaTheme="minorEastAsia" w:hAnsi="Calibri"/>
      <w:lang w:eastAsia="en-US"/>
    </w:rPr>
  </w:style>
  <w:style w:type="character" w:customStyle="1" w:styleId="TermofreferenceChar">
    <w:name w:val="Term of reference Char"/>
    <w:basedOn w:val="DefaultParagraphFont"/>
    <w:link w:val="Termofreference"/>
    <w:rsid w:val="00321DBE"/>
    <w:rPr>
      <w:rFonts w:ascii="Calibri" w:eastAsiaTheme="minorEastAsia" w:hAnsi="Calibri"/>
      <w:b/>
      <w:color w:val="365F91" w:themeColor="accent1" w:themeShade="BF"/>
      <w:szCs w:val="24"/>
    </w:rPr>
  </w:style>
  <w:style w:type="character" w:customStyle="1" w:styleId="TablenameChar">
    <w:name w:val="Table name Char"/>
    <w:basedOn w:val="CaptionChar"/>
    <w:link w:val="Tablename"/>
    <w:rsid w:val="00321DBE"/>
    <w:rPr>
      <w:rFonts w:ascii="Calibri" w:eastAsiaTheme="minorEastAsia" w:hAnsi="Calibri" w:cs="Times New Roman"/>
      <w:b/>
      <w:bCs/>
      <w:szCs w:val="18"/>
      <w:lang w:eastAsia="en-US"/>
    </w:rPr>
  </w:style>
  <w:style w:type="paragraph" w:customStyle="1" w:styleId="Figurename">
    <w:name w:val="Figure name"/>
    <w:basedOn w:val="Normal"/>
    <w:link w:val="FigurenameChar"/>
    <w:qFormat/>
    <w:rsid w:val="00321DBE"/>
    <w:pPr>
      <w:spacing w:before="60" w:after="60" w:line="240" w:lineRule="auto"/>
      <w:jc w:val="left"/>
    </w:pPr>
    <w:rPr>
      <w:rFonts w:ascii="Calibri" w:eastAsiaTheme="minorEastAsia" w:hAnsi="Calibri"/>
      <w:b/>
      <w:szCs w:val="24"/>
      <w:lang w:val="en-US" w:eastAsia="en-US"/>
    </w:rPr>
  </w:style>
  <w:style w:type="paragraph" w:customStyle="1" w:styleId="Figurenote">
    <w:name w:val="Figure note"/>
    <w:basedOn w:val="Normal"/>
    <w:link w:val="FigurenoteChar"/>
    <w:qFormat/>
    <w:rsid w:val="00321DBE"/>
    <w:pPr>
      <w:spacing w:before="60" w:after="60" w:line="240" w:lineRule="auto"/>
      <w:jc w:val="left"/>
    </w:pPr>
    <w:rPr>
      <w:rFonts w:eastAsiaTheme="minorEastAsia"/>
      <w:sz w:val="20"/>
      <w:szCs w:val="20"/>
      <w:lang w:eastAsia="en-US"/>
    </w:rPr>
  </w:style>
  <w:style w:type="character" w:customStyle="1" w:styleId="FigurenameChar">
    <w:name w:val="Figure name Char"/>
    <w:basedOn w:val="DefaultParagraphFont"/>
    <w:link w:val="Figurename"/>
    <w:rsid w:val="00321DBE"/>
    <w:rPr>
      <w:rFonts w:ascii="Calibri" w:eastAsiaTheme="minorEastAsia" w:hAnsi="Calibri"/>
      <w:b/>
      <w:szCs w:val="24"/>
      <w:lang w:val="en-US" w:eastAsia="en-US"/>
    </w:rPr>
  </w:style>
  <w:style w:type="character" w:customStyle="1" w:styleId="FigurenoteChar">
    <w:name w:val="Figure note Char"/>
    <w:basedOn w:val="DefaultParagraphFont"/>
    <w:link w:val="Figurenote"/>
    <w:rsid w:val="00321DBE"/>
    <w:rPr>
      <w:rFonts w:asciiTheme="minorHAnsi" w:eastAsiaTheme="minorEastAsia" w:hAnsiTheme="minorHAnsi"/>
      <w:sz w:val="20"/>
      <w:szCs w:val="20"/>
      <w:lang w:eastAsia="en-US"/>
    </w:rPr>
  </w:style>
  <w:style w:type="paragraph" w:customStyle="1" w:styleId="EndNoteBibliographyTitle">
    <w:name w:val="EndNote Bibliography Title"/>
    <w:basedOn w:val="Normal"/>
    <w:link w:val="EndNoteBibliographyTitleChar"/>
    <w:rsid w:val="00321DBE"/>
    <w:pPr>
      <w:spacing w:after="0" w:line="240" w:lineRule="auto"/>
      <w:jc w:val="center"/>
    </w:pPr>
    <w:rPr>
      <w:rFonts w:eastAsiaTheme="minorEastAsia" w:cs="Calibri"/>
      <w:noProof/>
      <w:sz w:val="20"/>
      <w:szCs w:val="20"/>
    </w:rPr>
  </w:style>
  <w:style w:type="character" w:customStyle="1" w:styleId="EndNoteBibliographyTitleChar">
    <w:name w:val="EndNote Bibliography Title Char"/>
    <w:basedOn w:val="TabletextChar"/>
    <w:link w:val="EndNoteBibliographyTitle"/>
    <w:rsid w:val="00321DBE"/>
    <w:rPr>
      <w:rFonts w:ascii="Cambria" w:eastAsiaTheme="minorEastAsia" w:hAnsi="Cambria" w:cs="Calibri"/>
      <w:noProof/>
      <w:sz w:val="20"/>
      <w:szCs w:val="20"/>
    </w:rPr>
  </w:style>
  <w:style w:type="paragraph" w:customStyle="1" w:styleId="EndNoteBibliography">
    <w:name w:val="EndNote Bibliography"/>
    <w:basedOn w:val="Normal"/>
    <w:link w:val="EndNoteBibliographyChar"/>
    <w:rsid w:val="00321DBE"/>
    <w:pPr>
      <w:spacing w:line="240" w:lineRule="auto"/>
      <w:jc w:val="left"/>
    </w:pPr>
    <w:rPr>
      <w:rFonts w:eastAsiaTheme="minorEastAsia" w:cs="Calibri"/>
      <w:noProof/>
      <w:sz w:val="20"/>
      <w:szCs w:val="20"/>
    </w:rPr>
  </w:style>
  <w:style w:type="character" w:customStyle="1" w:styleId="EndNoteBibliographyChar">
    <w:name w:val="EndNote Bibliography Char"/>
    <w:basedOn w:val="TabletextChar"/>
    <w:link w:val="EndNoteBibliography"/>
    <w:rsid w:val="00321DBE"/>
    <w:rPr>
      <w:rFonts w:ascii="Cambria" w:eastAsiaTheme="minorEastAsia" w:hAnsi="Cambria" w:cs="Calibri"/>
      <w:noProof/>
      <w:sz w:val="20"/>
      <w:szCs w:val="20"/>
    </w:rPr>
  </w:style>
  <w:style w:type="table" w:customStyle="1" w:styleId="TableGrid8">
    <w:name w:val="Table Grid8"/>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Sectionheading-numbered">
    <w:name w:val="ES. Section heading - numbered"/>
    <w:uiPriority w:val="99"/>
    <w:rsid w:val="00321DBE"/>
    <w:pPr>
      <w:numPr>
        <w:numId w:val="17"/>
      </w:numPr>
    </w:pPr>
  </w:style>
  <w:style w:type="paragraph" w:customStyle="1" w:styleId="TableHeading">
    <w:name w:val="TableHeading"/>
    <w:basedOn w:val="Normal"/>
    <w:link w:val="TableHeadingChar"/>
    <w:qFormat/>
    <w:rsid w:val="00321DBE"/>
    <w:pPr>
      <w:keepNext/>
      <w:tabs>
        <w:tab w:val="left" w:pos="993"/>
      </w:tabs>
      <w:spacing w:before="40" w:after="40" w:line="240" w:lineRule="auto"/>
      <w:ind w:left="992" w:hanging="992"/>
      <w:jc w:val="left"/>
    </w:pPr>
    <w:rPr>
      <w:rFonts w:ascii="Arial Narrow" w:eastAsia="Times New Roman" w:hAnsi="Arial Narrow" w:cs="Tahoma"/>
      <w:b/>
      <w:sz w:val="20"/>
      <w:szCs w:val="20"/>
    </w:rPr>
  </w:style>
  <w:style w:type="character" w:customStyle="1" w:styleId="TableHeadingChar">
    <w:name w:val="TableHeading Char"/>
    <w:link w:val="TableHeading"/>
    <w:rsid w:val="00321DBE"/>
    <w:rPr>
      <w:rFonts w:ascii="Arial Narrow" w:eastAsia="Times New Roman" w:hAnsi="Arial Narrow" w:cs="Tahoma"/>
      <w:b/>
      <w:sz w:val="20"/>
      <w:szCs w:val="20"/>
    </w:rPr>
  </w:style>
  <w:style w:type="paragraph" w:customStyle="1" w:styleId="ESNumberedSectionHeading">
    <w:name w:val="ES Numbered Section Heading"/>
    <w:link w:val="ESNumberedSectionHeadingChar"/>
    <w:qFormat/>
    <w:rsid w:val="00321DBE"/>
    <w:pPr>
      <w:keepNext/>
      <w:numPr>
        <w:numId w:val="18"/>
      </w:numPr>
      <w:spacing w:before="240" w:after="120" w:line="312" w:lineRule="auto"/>
      <w:ind w:left="1134" w:hanging="1134"/>
      <w:outlineLvl w:val="2"/>
    </w:pPr>
    <w:rPr>
      <w:rFonts w:cs="Tahoma"/>
      <w:smallCaps/>
      <w:szCs w:val="24"/>
    </w:rPr>
  </w:style>
  <w:style w:type="character" w:customStyle="1" w:styleId="ESNumberedSectionHeadingChar">
    <w:name w:val="ES Numbered Section Heading Char"/>
    <w:basedOn w:val="DefaultParagraphFont"/>
    <w:link w:val="ESNumberedSectionHeading"/>
    <w:rsid w:val="00321DBE"/>
    <w:rPr>
      <w:rFonts w:cs="Tahoma"/>
      <w:smallCaps/>
      <w:szCs w:val="24"/>
    </w:rPr>
  </w:style>
  <w:style w:type="table" w:customStyle="1" w:styleId="TableGrid9">
    <w:name w:val="Table Grid9"/>
    <w:basedOn w:val="TableNormal"/>
    <w:next w:val="TableGrid"/>
    <w:uiPriority w:val="59"/>
    <w:rsid w:val="00321DBE"/>
    <w:pPr>
      <w:spacing w:before="40" w:after="4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321DBE"/>
    <w:pPr>
      <w:spacing w:before="60" w:after="60" w:line="240" w:lineRule="auto"/>
      <w:jc w:val="left"/>
    </w:pPr>
    <w:rPr>
      <w:rFonts w:ascii="Arial Narrow" w:eastAsia="Times New Roman" w:hAnsi="Arial Narrow" w:cs="Arial"/>
      <w:sz w:val="18"/>
    </w:rPr>
  </w:style>
  <w:style w:type="paragraph" w:customStyle="1" w:styleId="tabletext1">
    <w:name w:val="table text"/>
    <w:basedOn w:val="TableText0"/>
    <w:rsid w:val="00321DBE"/>
    <w:pPr>
      <w:keepNext/>
    </w:pPr>
    <w:rPr>
      <w:color w:val="000000"/>
      <w:szCs w:val="20"/>
    </w:rPr>
  </w:style>
  <w:style w:type="paragraph" w:customStyle="1" w:styleId="TableParagraph">
    <w:name w:val="Table Paragraph"/>
    <w:basedOn w:val="Normal"/>
    <w:uiPriority w:val="1"/>
    <w:qFormat/>
    <w:rsid w:val="00321DBE"/>
    <w:pPr>
      <w:widowControl w:val="0"/>
      <w:spacing w:after="0" w:line="240" w:lineRule="auto"/>
      <w:jc w:val="left"/>
    </w:pPr>
    <w:rPr>
      <w:sz w:val="22"/>
      <w:lang w:val="en-US" w:eastAsia="en-US"/>
    </w:rPr>
  </w:style>
  <w:style w:type="table" w:customStyle="1" w:styleId="TableGrid10">
    <w:name w:val="Table Grid10"/>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groundTable">
    <w:name w:val="Background Table"/>
    <w:basedOn w:val="Caption"/>
    <w:link w:val="BackgroundTableChar"/>
    <w:qFormat/>
    <w:rsid w:val="00321DBE"/>
    <w:pPr>
      <w:keepNext/>
      <w:ind w:left="1418" w:hanging="1418"/>
    </w:pPr>
    <w:rPr>
      <w:rFonts w:ascii="Arial" w:eastAsia="Calibri" w:hAnsi="Arial"/>
      <w:bCs w:val="0"/>
      <w:iCs/>
      <w:sz w:val="20"/>
      <w:lang w:eastAsia="en-US"/>
    </w:rPr>
  </w:style>
  <w:style w:type="character" w:customStyle="1" w:styleId="BackgroundTableChar">
    <w:name w:val="Background Table Char"/>
    <w:basedOn w:val="CaptionChar"/>
    <w:link w:val="BackgroundTable"/>
    <w:rsid w:val="00321DBE"/>
    <w:rPr>
      <w:rFonts w:ascii="Arial" w:eastAsia="Calibri" w:hAnsi="Arial" w:cs="Times New Roman"/>
      <w:b/>
      <w:bCs w:val="0"/>
      <w:iCs/>
      <w:sz w:val="20"/>
      <w:szCs w:val="18"/>
      <w:lang w:eastAsia="en-US"/>
    </w:rPr>
  </w:style>
  <w:style w:type="numbering" w:customStyle="1" w:styleId="ESSectionheading-numbered1">
    <w:name w:val="ES. Section heading - numbered1"/>
    <w:uiPriority w:val="99"/>
    <w:rsid w:val="00321DBE"/>
    <w:pPr>
      <w:numPr>
        <w:numId w:val="19"/>
      </w:numPr>
    </w:pPr>
  </w:style>
  <w:style w:type="character" w:customStyle="1" w:styleId="cell-value">
    <w:name w:val="cell-value"/>
    <w:basedOn w:val="DefaultParagraphFont"/>
    <w:rsid w:val="00321DBE"/>
  </w:style>
  <w:style w:type="character" w:customStyle="1" w:styleId="cell">
    <w:name w:val="cell"/>
    <w:basedOn w:val="DefaultParagraphFont"/>
    <w:rsid w:val="00321DBE"/>
  </w:style>
  <w:style w:type="character" w:customStyle="1" w:styleId="block">
    <w:name w:val="block"/>
    <w:basedOn w:val="DefaultParagraphFont"/>
    <w:rsid w:val="00321DBE"/>
  </w:style>
  <w:style w:type="paragraph" w:customStyle="1" w:styleId="CM27">
    <w:name w:val="CM27"/>
    <w:basedOn w:val="Normal"/>
    <w:next w:val="Normal"/>
    <w:uiPriority w:val="99"/>
    <w:rsid w:val="00321DBE"/>
    <w:pPr>
      <w:autoSpaceDE w:val="0"/>
      <w:autoSpaceDN w:val="0"/>
      <w:adjustRightInd w:val="0"/>
      <w:spacing w:after="0" w:line="240" w:lineRule="auto"/>
      <w:jc w:val="left"/>
    </w:pPr>
    <w:rPr>
      <w:rFonts w:ascii="Arial" w:hAnsi="Arial" w:cs="Arial"/>
      <w:szCs w:val="24"/>
      <w:lang w:eastAsia="en-US"/>
    </w:rPr>
  </w:style>
  <w:style w:type="paragraph" w:customStyle="1" w:styleId="CM34">
    <w:name w:val="CM34"/>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paragraph" w:customStyle="1" w:styleId="CM28">
    <w:name w:val="CM28"/>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character" w:customStyle="1" w:styleId="PersonalComposeStyle">
    <w:name w:val="Personal Compose Style"/>
    <w:basedOn w:val="DefaultParagraphFont"/>
    <w:rsid w:val="00321DBE"/>
    <w:rPr>
      <w:rFonts w:ascii="Arial" w:hAnsi="Arial" w:cs="Arial"/>
      <w:color w:val="auto"/>
      <w:sz w:val="20"/>
    </w:rPr>
  </w:style>
  <w:style w:type="character" w:customStyle="1" w:styleId="PersonalReplyStyle">
    <w:name w:val="Personal Reply Style"/>
    <w:basedOn w:val="DefaultParagraphFont"/>
    <w:rsid w:val="00321DBE"/>
    <w:rPr>
      <w:rFonts w:ascii="Arial" w:hAnsi="Arial" w:cs="Arial"/>
      <w:color w:val="auto"/>
      <w:sz w:val="20"/>
    </w:rPr>
  </w:style>
  <w:style w:type="paragraph" w:customStyle="1" w:styleId="Bullet">
    <w:name w:val="Bullet"/>
    <w:basedOn w:val="Normal"/>
    <w:rsid w:val="00321DBE"/>
    <w:pPr>
      <w:numPr>
        <w:numId w:val="24"/>
      </w:numPr>
      <w:spacing w:after="240" w:line="312" w:lineRule="auto"/>
      <w:jc w:val="left"/>
    </w:pPr>
    <w:rPr>
      <w:rFonts w:ascii="Calibri" w:eastAsia="Times New Roman" w:hAnsi="Calibri" w:cs="Tahoma"/>
      <w:sz w:val="22"/>
    </w:rPr>
  </w:style>
  <w:style w:type="paragraph" w:styleId="Date">
    <w:name w:val="Date"/>
    <w:basedOn w:val="Normal"/>
    <w:next w:val="Normal"/>
    <w:link w:val="DateChar"/>
    <w:rsid w:val="00321DBE"/>
    <w:pPr>
      <w:spacing w:after="240" w:line="312" w:lineRule="auto"/>
      <w:ind w:right="113"/>
      <w:jc w:val="right"/>
    </w:pPr>
    <w:rPr>
      <w:rFonts w:ascii="Arial" w:eastAsia="Times New Roman" w:hAnsi="Arial" w:cs="Tahoma"/>
      <w:b/>
      <w:sz w:val="36"/>
    </w:rPr>
  </w:style>
  <w:style w:type="character" w:customStyle="1" w:styleId="DateChar">
    <w:name w:val="Date Char"/>
    <w:basedOn w:val="DefaultParagraphFont"/>
    <w:link w:val="Date"/>
    <w:rsid w:val="00321DBE"/>
    <w:rPr>
      <w:rFonts w:ascii="Arial" w:eastAsia="Times New Roman" w:hAnsi="Arial" w:cs="Tahoma"/>
      <w:b/>
      <w:sz w:val="36"/>
    </w:rPr>
  </w:style>
  <w:style w:type="paragraph" w:customStyle="1" w:styleId="Summaryboxtext">
    <w:name w:val="Summary box text"/>
    <w:basedOn w:val="Normal"/>
    <w:rsid w:val="00321DBE"/>
    <w:pPr>
      <w:spacing w:after="100" w:afterAutospacing="1" w:line="312" w:lineRule="auto"/>
      <w:jc w:val="left"/>
    </w:pPr>
    <w:rPr>
      <w:rFonts w:ascii="Arial Narrow" w:eastAsia="Times New Roman" w:hAnsi="Arial Narrow" w:cs="Tahoma"/>
      <w:sz w:val="22"/>
    </w:rPr>
  </w:style>
  <w:style w:type="paragraph" w:customStyle="1" w:styleId="Summaryboxheading">
    <w:name w:val="Summary box heading"/>
    <w:basedOn w:val="Summaryboxtext"/>
    <w:rsid w:val="00321DBE"/>
    <w:pPr>
      <w:spacing w:before="120"/>
    </w:pPr>
    <w:rPr>
      <w:b/>
    </w:rPr>
  </w:style>
  <w:style w:type="paragraph" w:customStyle="1" w:styleId="Heading2a">
    <w:name w:val="Heading 2a"/>
    <w:basedOn w:val="Heading2"/>
    <w:rsid w:val="00321DBE"/>
    <w:pPr>
      <w:keepLines w:val="0"/>
      <w:spacing w:before="0" w:after="120" w:line="240" w:lineRule="auto"/>
      <w:jc w:val="left"/>
      <w:outlineLvl w:val="9"/>
    </w:pPr>
    <w:rPr>
      <w:rFonts w:ascii="Arial Narrow" w:eastAsia="Times New Roman" w:hAnsi="Arial Narrow" w:cs="Tahoma"/>
      <w:color w:val="auto"/>
      <w:sz w:val="22"/>
      <w:szCs w:val="22"/>
    </w:rPr>
  </w:style>
  <w:style w:type="character" w:styleId="PageNumber">
    <w:name w:val="page number"/>
    <w:rsid w:val="00321DBE"/>
    <w:rPr>
      <w:rFonts w:ascii="Tahoma" w:hAnsi="Tahoma"/>
      <w:b/>
      <w:sz w:val="18"/>
    </w:rPr>
  </w:style>
  <w:style w:type="paragraph" w:customStyle="1" w:styleId="PublicationTitle">
    <w:name w:val="PublicationTitle"/>
    <w:basedOn w:val="Normal"/>
    <w:rsid w:val="00321DBE"/>
    <w:pPr>
      <w:spacing w:after="240" w:line="480" w:lineRule="exact"/>
      <w:ind w:right="113"/>
      <w:jc w:val="right"/>
    </w:pPr>
    <w:rPr>
      <w:rFonts w:ascii="Arial" w:eastAsia="Times New Roman" w:hAnsi="Arial" w:cs="Tahoma"/>
      <w:b/>
      <w:i/>
      <w:sz w:val="44"/>
    </w:rPr>
  </w:style>
  <w:style w:type="paragraph" w:customStyle="1" w:styleId="Sub-title">
    <w:name w:val="Sub-title"/>
    <w:basedOn w:val="Normal"/>
    <w:rsid w:val="00321DBE"/>
    <w:pPr>
      <w:spacing w:after="240" w:line="312" w:lineRule="auto"/>
      <w:ind w:right="113"/>
      <w:jc w:val="right"/>
    </w:pPr>
    <w:rPr>
      <w:rFonts w:ascii="Arial" w:eastAsia="Times New Roman" w:hAnsi="Arial" w:cs="Tahoma"/>
      <w:b/>
      <w:sz w:val="32"/>
    </w:rPr>
  </w:style>
  <w:style w:type="paragraph" w:customStyle="1" w:styleId="TableText2">
    <w:name w:val="TableText"/>
    <w:basedOn w:val="Normal"/>
    <w:link w:val="TableTextChar1"/>
    <w:rsid w:val="00321DBE"/>
    <w:pPr>
      <w:keepNext/>
      <w:spacing w:before="40" w:after="40" w:line="312" w:lineRule="auto"/>
      <w:jc w:val="left"/>
    </w:pPr>
    <w:rPr>
      <w:rFonts w:ascii="Arial Narrow" w:eastAsia="Times New Roman" w:hAnsi="Arial Narrow" w:cs="Tahoma"/>
      <w:sz w:val="18"/>
    </w:rPr>
  </w:style>
  <w:style w:type="character" w:customStyle="1" w:styleId="TableTextChar1">
    <w:name w:val="TableText Char"/>
    <w:link w:val="TableText2"/>
    <w:rsid w:val="00321DBE"/>
    <w:rPr>
      <w:rFonts w:ascii="Arial Narrow" w:eastAsia="Times New Roman" w:hAnsi="Arial Narrow" w:cs="Tahoma"/>
      <w:sz w:val="18"/>
    </w:rPr>
  </w:style>
  <w:style w:type="paragraph" w:customStyle="1" w:styleId="TableName0">
    <w:name w:val="TableName"/>
    <w:basedOn w:val="TableText2"/>
    <w:link w:val="TableNameChar0"/>
    <w:rsid w:val="00321DBE"/>
    <w:pPr>
      <w:ind w:left="1440" w:hanging="720"/>
    </w:pPr>
    <w:rPr>
      <w:b/>
      <w:sz w:val="20"/>
    </w:rPr>
  </w:style>
  <w:style w:type="character" w:customStyle="1" w:styleId="TableNameChar0">
    <w:name w:val="TableName Char"/>
    <w:link w:val="TableName0"/>
    <w:rsid w:val="00321DBE"/>
    <w:rPr>
      <w:rFonts w:ascii="Arial Narrow" w:eastAsia="Times New Roman" w:hAnsi="Arial Narrow" w:cs="Tahoma"/>
      <w:b/>
      <w:sz w:val="20"/>
    </w:rPr>
  </w:style>
  <w:style w:type="paragraph" w:customStyle="1" w:styleId="TableNotes">
    <w:name w:val="TableNotes"/>
    <w:basedOn w:val="TableText2"/>
    <w:link w:val="TableNotesChar"/>
    <w:rsid w:val="00321DBE"/>
    <w:pPr>
      <w:keepNext w:val="0"/>
      <w:keepLines/>
      <w:spacing w:before="0" w:after="360"/>
      <w:ind w:left="720"/>
      <w:contextualSpacing/>
    </w:pPr>
    <w:rPr>
      <w:sz w:val="16"/>
    </w:rPr>
  </w:style>
  <w:style w:type="character" w:customStyle="1" w:styleId="TableNotesChar">
    <w:name w:val="TableNotes Char"/>
    <w:link w:val="TableNotes"/>
    <w:rsid w:val="00321DBE"/>
    <w:rPr>
      <w:rFonts w:ascii="Arial Narrow" w:eastAsia="Times New Roman" w:hAnsi="Arial Narrow" w:cs="Tahoma"/>
      <w:sz w:val="16"/>
    </w:rPr>
  </w:style>
  <w:style w:type="paragraph" w:styleId="Title">
    <w:name w:val="Title"/>
    <w:basedOn w:val="Normal"/>
    <w:link w:val="TitleChar"/>
    <w:qFormat/>
    <w:rsid w:val="00321DBE"/>
    <w:pPr>
      <w:spacing w:after="240" w:line="312" w:lineRule="auto"/>
      <w:jc w:val="center"/>
    </w:pPr>
    <w:rPr>
      <w:rFonts w:ascii="Arial" w:eastAsia="Times New Roman" w:hAnsi="Arial" w:cs="Tahoma"/>
      <w:b/>
      <w:smallCaps/>
      <w:sz w:val="44"/>
    </w:rPr>
  </w:style>
  <w:style w:type="character" w:customStyle="1" w:styleId="TitleChar">
    <w:name w:val="Title Char"/>
    <w:basedOn w:val="DefaultParagraphFont"/>
    <w:link w:val="Title"/>
    <w:rsid w:val="00321DBE"/>
    <w:rPr>
      <w:rFonts w:ascii="Arial" w:eastAsia="Times New Roman" w:hAnsi="Arial" w:cs="Tahoma"/>
      <w:b/>
      <w:smallCaps/>
      <w:sz w:val="44"/>
    </w:rPr>
  </w:style>
  <w:style w:type="paragraph" w:customStyle="1" w:styleId="Dash">
    <w:name w:val="Dash"/>
    <w:basedOn w:val="Normal"/>
    <w:rsid w:val="00321DBE"/>
    <w:pPr>
      <w:numPr>
        <w:numId w:val="25"/>
      </w:numPr>
      <w:spacing w:after="240" w:line="312" w:lineRule="auto"/>
      <w:jc w:val="left"/>
    </w:pPr>
    <w:rPr>
      <w:rFonts w:ascii="Calibri" w:eastAsia="Times New Roman" w:hAnsi="Calibri" w:cs="Tahoma"/>
      <w:sz w:val="22"/>
    </w:rPr>
  </w:style>
  <w:style w:type="paragraph" w:customStyle="1" w:styleId="TableHeading0">
    <w:name w:val="Table Heading"/>
    <w:basedOn w:val="Normal"/>
    <w:next w:val="Normal"/>
    <w:rsid w:val="00321DBE"/>
    <w:pPr>
      <w:keepNext/>
      <w:spacing w:before="40" w:after="40" w:line="312" w:lineRule="auto"/>
      <w:jc w:val="left"/>
    </w:pPr>
    <w:rPr>
      <w:rFonts w:ascii="Arial" w:eastAsia="Times New Roman" w:hAnsi="Arial" w:cs="Tahoma"/>
      <w:b/>
      <w:sz w:val="18"/>
      <w:lang w:val="en-GB" w:eastAsia="en-US"/>
    </w:rPr>
  </w:style>
  <w:style w:type="character" w:customStyle="1" w:styleId="TableTextChar0">
    <w:name w:val="Table Text Char"/>
    <w:link w:val="TableText0"/>
    <w:rsid w:val="00321DBE"/>
    <w:rPr>
      <w:rFonts w:ascii="Arial Narrow" w:eastAsia="Times New Roman" w:hAnsi="Arial Narrow" w:cs="Arial"/>
      <w:sz w:val="18"/>
    </w:rPr>
  </w:style>
  <w:style w:type="paragraph" w:customStyle="1" w:styleId="Boxname">
    <w:name w:val="Box name"/>
    <w:basedOn w:val="TableName0"/>
    <w:link w:val="BoxnameChar"/>
    <w:rsid w:val="00321DBE"/>
  </w:style>
  <w:style w:type="character" w:customStyle="1" w:styleId="BoxnameChar">
    <w:name w:val="Box name Char"/>
    <w:basedOn w:val="TableNameChar0"/>
    <w:link w:val="Boxname"/>
    <w:rsid w:val="00321DBE"/>
    <w:rPr>
      <w:rFonts w:ascii="Arial Narrow" w:eastAsia="Times New Roman" w:hAnsi="Arial Narrow" w:cs="Tahoma"/>
      <w:b/>
      <w:sz w:val="20"/>
    </w:rPr>
  </w:style>
  <w:style w:type="paragraph" w:customStyle="1" w:styleId="StyleTableTextArialNarrowFirstline045cm">
    <w:name w:val="Style Table Text + Arial Narrow First line:  0.45 cm"/>
    <w:basedOn w:val="TableText0"/>
    <w:rsid w:val="00321DBE"/>
    <w:pPr>
      <w:keepNext/>
      <w:spacing w:before="40" w:after="360"/>
      <w:ind w:firstLine="720"/>
    </w:pPr>
    <w:rPr>
      <w:rFonts w:cs="Tahoma"/>
      <w:sz w:val="20"/>
      <w:lang w:eastAsia="en-US"/>
    </w:rPr>
  </w:style>
  <w:style w:type="paragraph" w:customStyle="1" w:styleId="TableNamea">
    <w:name w:val="Table Name(a)"/>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styleId="DocumentMap">
    <w:name w:val="Document Map"/>
    <w:basedOn w:val="Normal"/>
    <w:link w:val="DocumentMapChar"/>
    <w:rsid w:val="00321DBE"/>
    <w:pPr>
      <w:spacing w:after="240" w:line="312" w:lineRule="auto"/>
      <w:jc w:val="left"/>
    </w:pPr>
    <w:rPr>
      <w:rFonts w:ascii="Calibri" w:eastAsia="Times New Roman" w:hAnsi="Calibri" w:cs="Tahoma"/>
      <w:sz w:val="16"/>
      <w:szCs w:val="16"/>
    </w:rPr>
  </w:style>
  <w:style w:type="character" w:customStyle="1" w:styleId="DocumentMapChar">
    <w:name w:val="Document Map Char"/>
    <w:basedOn w:val="DefaultParagraphFont"/>
    <w:link w:val="DocumentMap"/>
    <w:rsid w:val="00321DBE"/>
    <w:rPr>
      <w:rFonts w:ascii="Calibri" w:eastAsia="Times New Roman" w:hAnsi="Calibri" w:cs="Tahoma"/>
      <w:sz w:val="16"/>
      <w:szCs w:val="16"/>
    </w:rPr>
  </w:style>
  <w:style w:type="paragraph" w:customStyle="1" w:styleId="figureheading">
    <w:name w:val="figure heading"/>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customStyle="1" w:styleId="Nnumberedlist">
    <w:name w:val="Nnumbered list"/>
    <w:basedOn w:val="Normal"/>
    <w:rsid w:val="00321DBE"/>
    <w:pPr>
      <w:numPr>
        <w:numId w:val="26"/>
      </w:numPr>
      <w:spacing w:after="240" w:line="312" w:lineRule="auto"/>
      <w:jc w:val="left"/>
    </w:pPr>
    <w:rPr>
      <w:rFonts w:ascii="Calibri" w:eastAsia="Times New Roman" w:hAnsi="Calibri" w:cs="Tahoma"/>
      <w:sz w:val="22"/>
    </w:rPr>
  </w:style>
  <w:style w:type="paragraph" w:customStyle="1" w:styleId="Figure">
    <w:name w:val="Figure"/>
    <w:basedOn w:val="TableName0"/>
    <w:rsid w:val="00321DBE"/>
    <w:pPr>
      <w:spacing w:before="120" w:after="120"/>
      <w:ind w:left="1800" w:hanging="1080"/>
    </w:pPr>
  </w:style>
  <w:style w:type="paragraph" w:customStyle="1" w:styleId="Equation">
    <w:name w:val="Equation"/>
    <w:basedOn w:val="Header"/>
    <w:rsid w:val="00321DBE"/>
    <w:pPr>
      <w:tabs>
        <w:tab w:val="clear" w:pos="4513"/>
        <w:tab w:val="clear" w:pos="9026"/>
      </w:tabs>
      <w:spacing w:after="240" w:line="312" w:lineRule="auto"/>
      <w:jc w:val="left"/>
    </w:pPr>
    <w:rPr>
      <w:rFonts w:ascii="Arial Narrow" w:eastAsia="Times New Roman" w:hAnsi="Arial Narrow" w:cs="Tahoma"/>
      <w:sz w:val="20"/>
    </w:rPr>
  </w:style>
  <w:style w:type="paragraph" w:customStyle="1" w:styleId="AHTAaddresslines">
    <w:name w:val="AHTA address lines"/>
    <w:basedOn w:val="PlainText"/>
    <w:rsid w:val="00321DBE"/>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321DBE"/>
    <w:pPr>
      <w:spacing w:after="0" w:line="312" w:lineRule="auto"/>
      <w:jc w:val="left"/>
    </w:pPr>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321DBE"/>
    <w:rPr>
      <w:rFonts w:ascii="Courier New" w:eastAsia="Times New Roman" w:hAnsi="Courier New" w:cs="Courier New"/>
      <w:sz w:val="20"/>
      <w:lang w:eastAsia="en-US"/>
    </w:rPr>
  </w:style>
  <w:style w:type="character" w:customStyle="1" w:styleId="regulartext">
    <w:name w:val="regulartext"/>
    <w:basedOn w:val="DefaultParagraphFont"/>
    <w:rsid w:val="00321DBE"/>
  </w:style>
  <w:style w:type="paragraph" w:customStyle="1" w:styleId="bodytext0">
    <w:name w:val="bodytext"/>
    <w:basedOn w:val="Normal"/>
    <w:rsid w:val="00321DBE"/>
    <w:pPr>
      <w:spacing w:before="100" w:beforeAutospacing="1" w:after="100" w:afterAutospacing="1" w:line="312" w:lineRule="auto"/>
      <w:jc w:val="left"/>
    </w:pPr>
    <w:rPr>
      <w:rFonts w:ascii="Times New Roman" w:eastAsia="Times New Roman" w:hAnsi="Times New Roman" w:cs="Tahoma"/>
      <w:sz w:val="22"/>
      <w:szCs w:val="24"/>
    </w:rPr>
  </w:style>
  <w:style w:type="character" w:customStyle="1" w:styleId="mainsubheader1">
    <w:name w:val="mainsubheader1"/>
    <w:rsid w:val="00321DBE"/>
    <w:rPr>
      <w:b/>
      <w:bCs/>
    </w:rPr>
  </w:style>
  <w:style w:type="paragraph" w:customStyle="1" w:styleId="Bullet12">
    <w:name w:val="Bullet+12"/>
    <w:basedOn w:val="Normal"/>
    <w:rsid w:val="00321DBE"/>
    <w:pPr>
      <w:tabs>
        <w:tab w:val="num" w:pos="357"/>
      </w:tabs>
      <w:spacing w:after="240" w:line="312" w:lineRule="auto"/>
      <w:ind w:left="357" w:hanging="357"/>
      <w:jc w:val="left"/>
    </w:pPr>
    <w:rPr>
      <w:rFonts w:ascii="Times New Roman" w:eastAsia="Times New Roman" w:hAnsi="Times New Roman" w:cs="Tahoma"/>
      <w:sz w:val="22"/>
      <w:lang w:eastAsia="en-US"/>
    </w:rPr>
  </w:style>
  <w:style w:type="paragraph" w:customStyle="1" w:styleId="Bullet6">
    <w:name w:val="Bullet+6"/>
    <w:basedOn w:val="Normal"/>
    <w:rsid w:val="00321DBE"/>
    <w:pPr>
      <w:tabs>
        <w:tab w:val="num" w:pos="578"/>
      </w:tabs>
      <w:spacing w:after="0" w:line="312" w:lineRule="auto"/>
      <w:ind w:left="578" w:hanging="360"/>
      <w:jc w:val="left"/>
    </w:pPr>
    <w:rPr>
      <w:rFonts w:ascii="Times New Roman" w:eastAsia="Times New Roman" w:hAnsi="Times New Roman" w:cs="Tahoma"/>
      <w:sz w:val="22"/>
      <w:szCs w:val="24"/>
    </w:rPr>
  </w:style>
  <w:style w:type="table" w:styleId="TableClassic1">
    <w:name w:val="Table Classic 1"/>
    <w:basedOn w:val="TableNormal"/>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Normal"/>
    <w:rsid w:val="00321DBE"/>
    <w:pPr>
      <w:tabs>
        <w:tab w:val="left" w:pos="720"/>
      </w:tabs>
      <w:spacing w:after="0" w:line="240" w:lineRule="auto"/>
      <w:jc w:val="left"/>
    </w:pPr>
    <w:rPr>
      <w:rFonts w:ascii="Bookman Old Style" w:eastAsia="Times New Roman" w:hAnsi="Bookman Old Style" w:cs="Times New Roman"/>
      <w:sz w:val="20"/>
      <w:szCs w:val="20"/>
      <w:lang w:val="en-US" w:eastAsia="en-US"/>
    </w:rPr>
  </w:style>
  <w:style w:type="character" w:customStyle="1" w:styleId="st1">
    <w:name w:val="st1"/>
    <w:basedOn w:val="DefaultParagraphFont"/>
    <w:rsid w:val="00321DBE"/>
  </w:style>
  <w:style w:type="table" w:customStyle="1" w:styleId="TableGrid11">
    <w:name w:val="Table Grid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val="0"/>
        <w:sz w:val="20"/>
      </w:rPr>
    </w:tblStylePr>
  </w:style>
  <w:style w:type="paragraph" w:customStyle="1" w:styleId="desc">
    <w:name w:val="desc"/>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paragraph" w:customStyle="1" w:styleId="details">
    <w:name w:val="details"/>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character" w:customStyle="1" w:styleId="jrnl">
    <w:name w:val="jrnl"/>
    <w:basedOn w:val="DefaultParagraphFont"/>
    <w:rsid w:val="00321DBE"/>
  </w:style>
  <w:style w:type="character" w:customStyle="1" w:styleId="A5">
    <w:name w:val="A5"/>
    <w:uiPriority w:val="99"/>
    <w:rsid w:val="00321DBE"/>
    <w:rPr>
      <w:rFonts w:cs="Humanist 77 7 BT"/>
      <w:color w:val="000000"/>
      <w:sz w:val="11"/>
      <w:szCs w:val="11"/>
    </w:rPr>
  </w:style>
  <w:style w:type="paragraph" w:customStyle="1" w:styleId="TOCHeading1">
    <w:name w:val="TOC Heading1"/>
    <w:basedOn w:val="Heading1"/>
    <w:next w:val="Normal"/>
    <w:uiPriority w:val="39"/>
    <w:unhideWhenUsed/>
    <w:qFormat/>
    <w:rsid w:val="00321DBE"/>
    <w:pPr>
      <w:spacing w:before="480" w:after="0"/>
      <w:jc w:val="left"/>
      <w:outlineLvl w:val="9"/>
    </w:pPr>
    <w:rPr>
      <w:rFonts w:ascii="Cambria" w:eastAsia="MS Gothic" w:hAnsi="Cambria" w:cs="Times New Roman"/>
      <w:smallCaps/>
      <w:color w:val="365F91"/>
      <w:sz w:val="28"/>
      <w:szCs w:val="28"/>
      <w:lang w:val="en-US" w:eastAsia="en-US"/>
    </w:rPr>
  </w:style>
  <w:style w:type="character" w:customStyle="1" w:styleId="highlight">
    <w:name w:val="highlight"/>
    <w:basedOn w:val="DefaultParagraphFont"/>
    <w:rsid w:val="00321DBE"/>
  </w:style>
  <w:style w:type="paragraph" w:customStyle="1" w:styleId="ESSectionHeading-numbered0">
    <w:name w:val="ES. Section Heading - numbered"/>
    <w:basedOn w:val="Heading3"/>
    <w:link w:val="ESSectionHeading-numberedChar"/>
    <w:rsid w:val="00321DBE"/>
    <w:pPr>
      <w:keepLines w:val="0"/>
      <w:numPr>
        <w:numId w:val="28"/>
      </w:numPr>
      <w:spacing w:before="240" w:after="120" w:line="312" w:lineRule="auto"/>
      <w:jc w:val="left"/>
    </w:pPr>
    <w:rPr>
      <w:rFonts w:ascii="Calibri" w:eastAsia="Times New Roman" w:hAnsi="Calibri" w:cs="Tahoma"/>
      <w:bCs w:val="0"/>
      <w:smallCaps/>
      <w:szCs w:val="24"/>
      <w:lang w:eastAsia="en-US"/>
    </w:rPr>
  </w:style>
  <w:style w:type="paragraph" w:customStyle="1" w:styleId="MainBodySectionHeading-numbered">
    <w:name w:val="Main Body Section Heading - numbered"/>
    <w:basedOn w:val="Heading2"/>
    <w:link w:val="MainBodySectionHeading-numberedChar"/>
    <w:rsid w:val="00321DBE"/>
    <w:pPr>
      <w:keepLines w:val="0"/>
      <w:numPr>
        <w:numId w:val="27"/>
      </w:numPr>
      <w:spacing w:before="0" w:after="120" w:line="240" w:lineRule="auto"/>
      <w:ind w:left="567" w:hanging="567"/>
      <w:jc w:val="left"/>
    </w:pPr>
    <w:rPr>
      <w:rFonts w:ascii="Arial Narrow" w:eastAsia="Times New Roman" w:hAnsi="Arial Narrow" w:cs="Tahoma"/>
      <w:color w:val="4F81BD"/>
      <w:lang w:eastAsia="en-US"/>
    </w:rPr>
  </w:style>
  <w:style w:type="character" w:customStyle="1" w:styleId="ESSectionHeading-numberedChar">
    <w:name w:val="ES. Section Heading - numbered Char"/>
    <w:basedOn w:val="Heading3Char"/>
    <w:link w:val="ESSectionHeading-numbered0"/>
    <w:rsid w:val="00321DBE"/>
    <w:rPr>
      <w:rFonts w:ascii="Calibri" w:eastAsia="Times New Roman" w:hAnsi="Calibri" w:cs="Tahoma"/>
      <w:b/>
      <w:bCs w:val="0"/>
      <w:i/>
      <w:smallCaps/>
      <w:sz w:val="30"/>
      <w:szCs w:val="24"/>
      <w:lang w:eastAsia="en-US"/>
    </w:rPr>
  </w:style>
  <w:style w:type="character" w:customStyle="1" w:styleId="MainBodySectionHeading-numberedChar">
    <w:name w:val="Main Body Section Heading - numbered Char"/>
    <w:basedOn w:val="Heading2Char"/>
    <w:link w:val="MainBodySectionHeading-numbered"/>
    <w:rsid w:val="00321DBE"/>
    <w:rPr>
      <w:rFonts w:ascii="Arial Narrow" w:eastAsia="Times New Roman" w:hAnsi="Arial Narrow" w:cs="Tahoma"/>
      <w:b/>
      <w:bCs/>
      <w:color w:val="4F81BD"/>
      <w:sz w:val="32"/>
      <w:szCs w:val="26"/>
      <w:lang w:eastAsia="en-US"/>
    </w:rPr>
  </w:style>
  <w:style w:type="paragraph" w:customStyle="1" w:styleId="Tablenotes0">
    <w:name w:val="Tablenotes"/>
    <w:basedOn w:val="Normal"/>
    <w:link w:val="TablenotesChar0"/>
    <w:qFormat/>
    <w:rsid w:val="00321DBE"/>
    <w:pPr>
      <w:widowControl w:val="0"/>
      <w:spacing w:before="40" w:after="240" w:line="240" w:lineRule="auto"/>
    </w:pPr>
    <w:rPr>
      <w:rFonts w:ascii="Arial Narrow" w:eastAsia="SimSun" w:hAnsi="Arial Narrow" w:cs="Arial"/>
      <w:snapToGrid w:val="0"/>
      <w:sz w:val="20"/>
      <w:szCs w:val="20"/>
      <w:lang w:eastAsia="en-US"/>
    </w:rPr>
  </w:style>
  <w:style w:type="character" w:customStyle="1" w:styleId="TablenotesChar0">
    <w:name w:val="Tablenotes Char"/>
    <w:basedOn w:val="DefaultParagraphFont"/>
    <w:link w:val="Tablenotes0"/>
    <w:rsid w:val="00321DBE"/>
    <w:rPr>
      <w:rFonts w:ascii="Arial Narrow" w:eastAsia="SimSun" w:hAnsi="Arial Narrow" w:cs="Arial"/>
      <w:snapToGrid w:val="0"/>
      <w:sz w:val="20"/>
      <w:szCs w:val="20"/>
      <w:lang w:eastAsia="en-US"/>
    </w:rPr>
  </w:style>
  <w:style w:type="paragraph" w:customStyle="1" w:styleId="TableNotes18">
    <w:name w:val="TableNotes+18"/>
    <w:basedOn w:val="TableText2"/>
    <w:uiPriority w:val="99"/>
    <w:rsid w:val="00321DBE"/>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321DBE"/>
    <w:pPr>
      <w:keepNext/>
      <w:spacing w:after="0"/>
    </w:pPr>
  </w:style>
  <w:style w:type="paragraph" w:customStyle="1" w:styleId="TFAbbrevs0">
    <w:name w:val="TFAbbrevs+0"/>
    <w:basedOn w:val="Normal"/>
    <w:qFormat/>
    <w:rsid w:val="00321DBE"/>
    <w:pPr>
      <w:keepNext/>
      <w:keepLines/>
      <w:spacing w:after="0" w:line="240" w:lineRule="auto"/>
      <w:jc w:val="left"/>
    </w:pPr>
    <w:rPr>
      <w:rFonts w:ascii="Arial Narrow" w:eastAsia="Times New Roman" w:hAnsi="Arial Narrow" w:cs="Times New Roman"/>
      <w:color w:val="000000"/>
      <w:sz w:val="18"/>
      <w:szCs w:val="18"/>
    </w:rPr>
  </w:style>
  <w:style w:type="paragraph" w:customStyle="1" w:styleId="TFAbbrevs18">
    <w:name w:val="TFAbbrevs+18"/>
    <w:basedOn w:val="TFAbbrevs0"/>
    <w:next w:val="Normal"/>
    <w:qFormat/>
    <w:rsid w:val="00321DBE"/>
    <w:pPr>
      <w:spacing w:after="360"/>
    </w:pPr>
  </w:style>
  <w:style w:type="paragraph" w:customStyle="1" w:styleId="Comment">
    <w:name w:val="Comment"/>
    <w:basedOn w:val="Normal"/>
    <w:link w:val="CommentChar"/>
    <w:rsid w:val="00321DBE"/>
    <w:pPr>
      <w:tabs>
        <w:tab w:val="num" w:pos="720"/>
      </w:tabs>
      <w:spacing w:after="240" w:line="312" w:lineRule="auto"/>
    </w:pPr>
    <w:rPr>
      <w:rFonts w:ascii="Calibri" w:eastAsia="Times New Roman" w:hAnsi="Calibri" w:cs="Tahoma"/>
      <w:i/>
      <w:sz w:val="22"/>
    </w:rPr>
  </w:style>
  <w:style w:type="character" w:customStyle="1" w:styleId="CommentChar">
    <w:name w:val="Comment Char"/>
    <w:basedOn w:val="DefaultParagraphFont"/>
    <w:link w:val="Comment"/>
    <w:rsid w:val="00321DBE"/>
    <w:rPr>
      <w:rFonts w:ascii="Calibri" w:eastAsia="Times New Roman" w:hAnsi="Calibri" w:cs="Tahoma"/>
      <w:i/>
      <w:sz w:val="22"/>
    </w:rPr>
  </w:style>
  <w:style w:type="paragraph" w:customStyle="1" w:styleId="hidden">
    <w:name w:val="hidden"/>
    <w:basedOn w:val="Normal"/>
    <w:qFormat/>
    <w:rsid w:val="00321DBE"/>
    <w:pPr>
      <w:spacing w:after="240" w:line="312" w:lineRule="auto"/>
      <w:jc w:val="left"/>
    </w:pPr>
    <w:rPr>
      <w:rFonts w:ascii="Calibri" w:eastAsia="Times New Roman" w:hAnsi="Calibri" w:cs="Tahoma"/>
      <w:sz w:val="22"/>
    </w:rPr>
  </w:style>
  <w:style w:type="paragraph" w:customStyle="1" w:styleId="Guidelines">
    <w:name w:val="Guidelines"/>
    <w:basedOn w:val="Normal"/>
    <w:link w:val="GuidelinesChar"/>
    <w:qFormat/>
    <w:rsid w:val="00321DBE"/>
    <w:pPr>
      <w:spacing w:after="240" w:line="312" w:lineRule="auto"/>
    </w:pPr>
    <w:rPr>
      <w:rFonts w:ascii="Calibri" w:eastAsia="Times New Roman" w:hAnsi="Calibri" w:cs="Tahoma"/>
      <w:vanish/>
      <w:color w:val="C00000"/>
      <w:sz w:val="22"/>
    </w:rPr>
  </w:style>
  <w:style w:type="character" w:customStyle="1" w:styleId="GuidelinesChar">
    <w:name w:val="Guidelines Char"/>
    <w:basedOn w:val="DefaultParagraphFont"/>
    <w:link w:val="Guidelines"/>
    <w:rsid w:val="00321DBE"/>
    <w:rPr>
      <w:rFonts w:ascii="Calibri" w:eastAsia="Times New Roman" w:hAnsi="Calibri" w:cs="Tahoma"/>
      <w:vanish/>
      <w:color w:val="C00000"/>
      <w:sz w:val="22"/>
    </w:rPr>
  </w:style>
  <w:style w:type="table" w:customStyle="1" w:styleId="TableGrid51">
    <w:name w:val="Table Grid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
    <w:name w:val="Table font"/>
    <w:basedOn w:val="Normal"/>
    <w:link w:val="TablefontChar"/>
    <w:qFormat/>
    <w:rsid w:val="00321DBE"/>
    <w:pPr>
      <w:spacing w:before="120" w:after="120" w:line="240" w:lineRule="auto"/>
      <w:jc w:val="left"/>
    </w:pPr>
    <w:rPr>
      <w:rFonts w:ascii="Arial Narrow" w:eastAsia="Calibri" w:hAnsi="Arial Narrow" w:cs="Times New Roman"/>
      <w:sz w:val="18"/>
      <w:lang w:eastAsia="en-US"/>
    </w:rPr>
  </w:style>
  <w:style w:type="character" w:customStyle="1" w:styleId="TablefontChar">
    <w:name w:val="Table font Char"/>
    <w:basedOn w:val="DefaultParagraphFont"/>
    <w:link w:val="Tablefont"/>
    <w:rsid w:val="00321DBE"/>
    <w:rPr>
      <w:rFonts w:ascii="Arial Narrow" w:eastAsia="Calibri" w:hAnsi="Arial Narrow" w:cs="Times New Roman"/>
      <w:sz w:val="18"/>
      <w:lang w:eastAsia="en-US"/>
    </w:rPr>
  </w:style>
  <w:style w:type="character" w:customStyle="1" w:styleId="label">
    <w:name w:val="label"/>
    <w:basedOn w:val="DefaultParagraphFont"/>
    <w:rsid w:val="00321DBE"/>
  </w:style>
  <w:style w:type="character" w:customStyle="1" w:styleId="quality-sign">
    <w:name w:val="quality-sign"/>
    <w:basedOn w:val="DefaultParagraphFont"/>
    <w:rsid w:val="00321DBE"/>
  </w:style>
  <w:style w:type="table" w:customStyle="1" w:styleId="TableGrid52">
    <w:name w:val="Table Grid5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left">
    <w:name w:val="Table Text 1 (left)"/>
    <w:basedOn w:val="Normal"/>
    <w:link w:val="TableText1leftChar"/>
    <w:qFormat/>
    <w:rsid w:val="00532B79"/>
    <w:pPr>
      <w:spacing w:before="40" w:after="40" w:line="240" w:lineRule="auto"/>
      <w:jc w:val="left"/>
    </w:pPr>
    <w:rPr>
      <w:rFonts w:ascii="Arial" w:eastAsia="SimSun" w:hAnsi="Arial" w:cs="Calibri"/>
      <w:sz w:val="20"/>
      <w:szCs w:val="20"/>
      <w:lang w:val="en-GB" w:eastAsia="en-US"/>
    </w:rPr>
  </w:style>
  <w:style w:type="character" w:customStyle="1" w:styleId="TableText1leftChar">
    <w:name w:val="Table Text 1 (left) Char"/>
    <w:link w:val="TableText1left"/>
    <w:locked/>
    <w:rsid w:val="00532B79"/>
    <w:rPr>
      <w:rFonts w:ascii="Arial" w:eastAsia="SimSun" w:hAnsi="Arial" w:cs="Calibri"/>
      <w:sz w:val="20"/>
      <w:szCs w:val="20"/>
      <w:lang w:val="en-GB" w:eastAsia="en-US"/>
    </w:rPr>
  </w:style>
  <w:style w:type="table" w:customStyle="1" w:styleId="TableGrid581">
    <w:name w:val="Table Grid58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numbering" w:customStyle="1" w:styleId="NoList11">
    <w:name w:val="No List11"/>
    <w:next w:val="NoList"/>
    <w:uiPriority w:val="99"/>
    <w:semiHidden/>
    <w:unhideWhenUsed/>
    <w:rsid w:val="00321DBE"/>
  </w:style>
  <w:style w:type="table" w:customStyle="1" w:styleId="TableGrid12">
    <w:name w:val="Table Grid12"/>
    <w:basedOn w:val="TableNormal"/>
    <w:next w:val="TableGrid"/>
    <w:uiPriority w:val="59"/>
    <w:rsid w:val="00321DBE"/>
    <w:pPr>
      <w:spacing w:before="40" w:after="40" w:line="240" w:lineRule="auto"/>
    </w:pPr>
    <w:rPr>
      <w:rFonts w:ascii="Calibri" w:eastAsia="Times New Roman" w:hAnsi="Calibri"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
    <w:name w:val="Table Grid51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1DBE"/>
    <w:pPr>
      <w:numPr>
        <w:numId w:val="29"/>
      </w:numPr>
      <w:spacing w:after="0" w:line="240" w:lineRule="auto"/>
      <w:contextualSpacing/>
      <w:jc w:val="left"/>
    </w:pPr>
    <w:rPr>
      <w:rFonts w:ascii="Times New Roman" w:eastAsia="Times New Roman" w:hAnsi="Times New Roman" w:cs="Times New Roman"/>
      <w:szCs w:val="20"/>
      <w:lang w:eastAsia="en-US"/>
    </w:rPr>
  </w:style>
  <w:style w:type="paragraph" w:customStyle="1" w:styleId="TableTextDusc">
    <w:name w:val="Table Text _Dusc"/>
    <w:basedOn w:val="Normal"/>
    <w:link w:val="TableTextDuscChar"/>
    <w:qFormat/>
    <w:rsid w:val="00AA4B84"/>
    <w:pPr>
      <w:autoSpaceDE w:val="0"/>
      <w:autoSpaceDN w:val="0"/>
      <w:adjustRightInd w:val="0"/>
      <w:spacing w:before="60" w:after="60" w:line="240" w:lineRule="auto"/>
      <w:jc w:val="left"/>
    </w:pPr>
    <w:rPr>
      <w:rFonts w:ascii="Arial" w:eastAsia="MS Mincho" w:hAnsi="Arial" w:cs="Calibri"/>
      <w:sz w:val="20"/>
      <w:szCs w:val="20"/>
    </w:rPr>
  </w:style>
  <w:style w:type="character" w:customStyle="1" w:styleId="TableTextDuscChar">
    <w:name w:val="Table Text _Dusc Char"/>
    <w:basedOn w:val="DefaultParagraphFont"/>
    <w:link w:val="TableTextDusc"/>
    <w:rsid w:val="00AA4B84"/>
    <w:rPr>
      <w:rFonts w:ascii="Arial" w:eastAsia="MS Mincho" w:hAnsi="Arial" w:cs="Calibri"/>
      <w:sz w:val="20"/>
      <w:szCs w:val="20"/>
    </w:rPr>
  </w:style>
  <w:style w:type="paragraph" w:customStyle="1" w:styleId="MDSubsubheding">
    <w:name w:val="MD_Sub sub heding"/>
    <w:basedOn w:val="Heading3"/>
    <w:next w:val="Normal"/>
    <w:qFormat/>
    <w:rsid w:val="00CD5644"/>
    <w:pPr>
      <w:spacing w:before="0" w:after="200" w:line="240" w:lineRule="auto"/>
      <w:jc w:val="left"/>
    </w:pPr>
    <w:rPr>
      <w:sz w:val="28"/>
      <w:szCs w:val="28"/>
    </w:rPr>
  </w:style>
  <w:style w:type="paragraph" w:customStyle="1" w:styleId="ToRText">
    <w:name w:val="ToR Text"/>
    <w:basedOn w:val="Normal"/>
    <w:link w:val="ToRTextChar"/>
    <w:qFormat/>
    <w:rsid w:val="004D7A6F"/>
    <w:pPr>
      <w:pBdr>
        <w:top w:val="single" w:sz="4" w:space="1" w:color="auto"/>
        <w:left w:val="single" w:sz="4" w:space="4" w:color="auto"/>
        <w:bottom w:val="single" w:sz="4" w:space="1" w:color="auto"/>
        <w:right w:val="single" w:sz="4" w:space="4" w:color="auto"/>
      </w:pBdr>
      <w:spacing w:line="240" w:lineRule="auto"/>
      <w:jc w:val="left"/>
    </w:pPr>
    <w:rPr>
      <w:rFonts w:cstheme="minorHAnsi"/>
      <w:b/>
      <w:color w:val="365F91" w:themeColor="accent1" w:themeShade="BF"/>
    </w:rPr>
  </w:style>
  <w:style w:type="character" w:customStyle="1" w:styleId="ToRTextChar">
    <w:name w:val="ToR Text Char"/>
    <w:basedOn w:val="DefaultParagraphFont"/>
    <w:link w:val="ToRText"/>
    <w:rsid w:val="004D7A6F"/>
    <w:rPr>
      <w:rFonts w:asciiTheme="minorHAnsi" w:hAnsiTheme="minorHAnsi" w:cstheme="minorHAnsi"/>
      <w:b/>
      <w:color w:val="365F91" w:themeColor="accent1" w:themeShade="BF"/>
    </w:rPr>
  </w:style>
  <w:style w:type="character" w:customStyle="1" w:styleId="TabletitleChar">
    <w:name w:val="Table title Char"/>
    <w:basedOn w:val="DefaultParagraphFont"/>
    <w:link w:val="Tabletitle"/>
    <w:locked/>
    <w:rsid w:val="00A2113B"/>
    <w:rPr>
      <w:rFonts w:ascii="Arial Narrow" w:eastAsia="Times New Roman" w:hAnsi="Arial Narrow" w:cs="Arial"/>
      <w:b/>
      <w:caps/>
      <w:color w:val="4B306A"/>
      <w:sz w:val="16"/>
      <w:szCs w:val="20"/>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975">
      <w:bodyDiv w:val="1"/>
      <w:marLeft w:val="0"/>
      <w:marRight w:val="0"/>
      <w:marTop w:val="0"/>
      <w:marBottom w:val="0"/>
      <w:divBdr>
        <w:top w:val="none" w:sz="0" w:space="0" w:color="auto"/>
        <w:left w:val="none" w:sz="0" w:space="0" w:color="auto"/>
        <w:bottom w:val="none" w:sz="0" w:space="0" w:color="auto"/>
        <w:right w:val="none" w:sz="0" w:space="0" w:color="auto"/>
      </w:divBdr>
    </w:div>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40829544">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8299283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89848">
      <w:bodyDiv w:val="1"/>
      <w:marLeft w:val="0"/>
      <w:marRight w:val="0"/>
      <w:marTop w:val="0"/>
      <w:marBottom w:val="0"/>
      <w:divBdr>
        <w:top w:val="none" w:sz="0" w:space="0" w:color="auto"/>
        <w:left w:val="none" w:sz="0" w:space="0" w:color="auto"/>
        <w:bottom w:val="none" w:sz="0" w:space="0" w:color="auto"/>
        <w:right w:val="none" w:sz="0" w:space="0" w:color="auto"/>
      </w:divBdr>
    </w:div>
    <w:div w:id="135495186">
      <w:bodyDiv w:val="1"/>
      <w:marLeft w:val="0"/>
      <w:marRight w:val="0"/>
      <w:marTop w:val="0"/>
      <w:marBottom w:val="0"/>
      <w:divBdr>
        <w:top w:val="none" w:sz="0" w:space="0" w:color="auto"/>
        <w:left w:val="none" w:sz="0" w:space="0" w:color="auto"/>
        <w:bottom w:val="none" w:sz="0" w:space="0" w:color="auto"/>
        <w:right w:val="none" w:sz="0" w:space="0" w:color="auto"/>
      </w:divBdr>
    </w:div>
    <w:div w:id="182786103">
      <w:bodyDiv w:val="1"/>
      <w:marLeft w:val="0"/>
      <w:marRight w:val="0"/>
      <w:marTop w:val="0"/>
      <w:marBottom w:val="0"/>
      <w:divBdr>
        <w:top w:val="none" w:sz="0" w:space="0" w:color="auto"/>
        <w:left w:val="none" w:sz="0" w:space="0" w:color="auto"/>
        <w:bottom w:val="none" w:sz="0" w:space="0" w:color="auto"/>
        <w:right w:val="none" w:sz="0" w:space="0" w:color="auto"/>
      </w:divBdr>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199821585">
      <w:bodyDiv w:val="1"/>
      <w:marLeft w:val="0"/>
      <w:marRight w:val="0"/>
      <w:marTop w:val="0"/>
      <w:marBottom w:val="0"/>
      <w:divBdr>
        <w:top w:val="none" w:sz="0" w:space="0" w:color="auto"/>
        <w:left w:val="none" w:sz="0" w:space="0" w:color="auto"/>
        <w:bottom w:val="none" w:sz="0" w:space="0" w:color="auto"/>
        <w:right w:val="none" w:sz="0" w:space="0" w:color="auto"/>
      </w:divBdr>
    </w:div>
    <w:div w:id="207496127">
      <w:bodyDiv w:val="1"/>
      <w:marLeft w:val="0"/>
      <w:marRight w:val="0"/>
      <w:marTop w:val="0"/>
      <w:marBottom w:val="0"/>
      <w:divBdr>
        <w:top w:val="none" w:sz="0" w:space="0" w:color="auto"/>
        <w:left w:val="none" w:sz="0" w:space="0" w:color="auto"/>
        <w:bottom w:val="none" w:sz="0" w:space="0" w:color="auto"/>
        <w:right w:val="none" w:sz="0" w:space="0" w:color="auto"/>
      </w:divBdr>
    </w:div>
    <w:div w:id="229849476">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1304647">
      <w:bodyDiv w:val="1"/>
      <w:marLeft w:val="0"/>
      <w:marRight w:val="0"/>
      <w:marTop w:val="0"/>
      <w:marBottom w:val="0"/>
      <w:divBdr>
        <w:top w:val="none" w:sz="0" w:space="0" w:color="auto"/>
        <w:left w:val="none" w:sz="0" w:space="0" w:color="auto"/>
        <w:bottom w:val="none" w:sz="0" w:space="0" w:color="auto"/>
        <w:right w:val="none" w:sz="0" w:space="0" w:color="auto"/>
      </w:divBdr>
    </w:div>
    <w:div w:id="316148511">
      <w:bodyDiv w:val="1"/>
      <w:marLeft w:val="0"/>
      <w:marRight w:val="0"/>
      <w:marTop w:val="0"/>
      <w:marBottom w:val="0"/>
      <w:divBdr>
        <w:top w:val="none" w:sz="0" w:space="0" w:color="auto"/>
        <w:left w:val="none" w:sz="0" w:space="0" w:color="auto"/>
        <w:bottom w:val="none" w:sz="0" w:space="0" w:color="auto"/>
        <w:right w:val="none" w:sz="0" w:space="0" w:color="auto"/>
      </w:divBdr>
    </w:div>
    <w:div w:id="335689943">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1007475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3584612">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48553878">
      <w:bodyDiv w:val="1"/>
      <w:marLeft w:val="0"/>
      <w:marRight w:val="0"/>
      <w:marTop w:val="0"/>
      <w:marBottom w:val="0"/>
      <w:divBdr>
        <w:top w:val="none" w:sz="0" w:space="0" w:color="auto"/>
        <w:left w:val="none" w:sz="0" w:space="0" w:color="auto"/>
        <w:bottom w:val="none" w:sz="0" w:space="0" w:color="auto"/>
        <w:right w:val="none" w:sz="0" w:space="0" w:color="auto"/>
      </w:divBdr>
    </w:div>
    <w:div w:id="662588064">
      <w:bodyDiv w:val="1"/>
      <w:marLeft w:val="0"/>
      <w:marRight w:val="0"/>
      <w:marTop w:val="0"/>
      <w:marBottom w:val="0"/>
      <w:divBdr>
        <w:top w:val="none" w:sz="0" w:space="0" w:color="auto"/>
        <w:left w:val="none" w:sz="0" w:space="0" w:color="auto"/>
        <w:bottom w:val="none" w:sz="0" w:space="0" w:color="auto"/>
        <w:right w:val="none" w:sz="0" w:space="0" w:color="auto"/>
      </w:divBdr>
    </w:div>
    <w:div w:id="674840103">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799567433">
      <w:bodyDiv w:val="1"/>
      <w:marLeft w:val="0"/>
      <w:marRight w:val="0"/>
      <w:marTop w:val="0"/>
      <w:marBottom w:val="0"/>
      <w:divBdr>
        <w:top w:val="none" w:sz="0" w:space="0" w:color="auto"/>
        <w:left w:val="none" w:sz="0" w:space="0" w:color="auto"/>
        <w:bottom w:val="none" w:sz="0" w:space="0" w:color="auto"/>
        <w:right w:val="none" w:sz="0" w:space="0" w:color="auto"/>
      </w:divBdr>
    </w:div>
    <w:div w:id="945426348">
      <w:bodyDiv w:val="1"/>
      <w:marLeft w:val="0"/>
      <w:marRight w:val="0"/>
      <w:marTop w:val="0"/>
      <w:marBottom w:val="0"/>
      <w:divBdr>
        <w:top w:val="none" w:sz="0" w:space="0" w:color="auto"/>
        <w:left w:val="none" w:sz="0" w:space="0" w:color="auto"/>
        <w:bottom w:val="none" w:sz="0" w:space="0" w:color="auto"/>
        <w:right w:val="none" w:sz="0" w:space="0" w:color="auto"/>
      </w:divBdr>
    </w:div>
    <w:div w:id="957374382">
      <w:bodyDiv w:val="1"/>
      <w:marLeft w:val="0"/>
      <w:marRight w:val="0"/>
      <w:marTop w:val="0"/>
      <w:marBottom w:val="0"/>
      <w:divBdr>
        <w:top w:val="none" w:sz="0" w:space="0" w:color="auto"/>
        <w:left w:val="none" w:sz="0" w:space="0" w:color="auto"/>
        <w:bottom w:val="none" w:sz="0" w:space="0" w:color="auto"/>
        <w:right w:val="none" w:sz="0" w:space="0" w:color="auto"/>
      </w:divBdr>
    </w:div>
    <w:div w:id="981621973">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0597019">
      <w:bodyDiv w:val="1"/>
      <w:marLeft w:val="0"/>
      <w:marRight w:val="0"/>
      <w:marTop w:val="0"/>
      <w:marBottom w:val="0"/>
      <w:divBdr>
        <w:top w:val="none" w:sz="0" w:space="0" w:color="auto"/>
        <w:left w:val="none" w:sz="0" w:space="0" w:color="auto"/>
        <w:bottom w:val="none" w:sz="0" w:space="0" w:color="auto"/>
        <w:right w:val="none" w:sz="0" w:space="0" w:color="auto"/>
      </w:divBdr>
    </w:div>
    <w:div w:id="10413970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26969021">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7545553">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63340830">
      <w:bodyDiv w:val="1"/>
      <w:marLeft w:val="0"/>
      <w:marRight w:val="0"/>
      <w:marTop w:val="0"/>
      <w:marBottom w:val="0"/>
      <w:divBdr>
        <w:top w:val="none" w:sz="0" w:space="0" w:color="auto"/>
        <w:left w:val="none" w:sz="0" w:space="0" w:color="auto"/>
        <w:bottom w:val="none" w:sz="0" w:space="0" w:color="auto"/>
        <w:right w:val="none" w:sz="0" w:space="0" w:color="auto"/>
      </w:divBdr>
    </w:div>
    <w:div w:id="1297485555">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5351027">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17941194">
      <w:bodyDiv w:val="1"/>
      <w:marLeft w:val="0"/>
      <w:marRight w:val="0"/>
      <w:marTop w:val="0"/>
      <w:marBottom w:val="0"/>
      <w:divBdr>
        <w:top w:val="none" w:sz="0" w:space="0" w:color="auto"/>
        <w:left w:val="none" w:sz="0" w:space="0" w:color="auto"/>
        <w:bottom w:val="none" w:sz="0" w:space="0" w:color="auto"/>
        <w:right w:val="none" w:sz="0" w:space="0" w:color="auto"/>
      </w:divBdr>
    </w:div>
    <w:div w:id="1419401204">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48115519">
      <w:bodyDiv w:val="1"/>
      <w:marLeft w:val="0"/>
      <w:marRight w:val="0"/>
      <w:marTop w:val="0"/>
      <w:marBottom w:val="0"/>
      <w:divBdr>
        <w:top w:val="none" w:sz="0" w:space="0" w:color="auto"/>
        <w:left w:val="none" w:sz="0" w:space="0" w:color="auto"/>
        <w:bottom w:val="none" w:sz="0" w:space="0" w:color="auto"/>
        <w:right w:val="none" w:sz="0" w:space="0" w:color="auto"/>
      </w:divBdr>
    </w:div>
    <w:div w:id="145498189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560743337">
      <w:bodyDiv w:val="1"/>
      <w:marLeft w:val="0"/>
      <w:marRight w:val="0"/>
      <w:marTop w:val="0"/>
      <w:marBottom w:val="0"/>
      <w:divBdr>
        <w:top w:val="none" w:sz="0" w:space="0" w:color="auto"/>
        <w:left w:val="none" w:sz="0" w:space="0" w:color="auto"/>
        <w:bottom w:val="none" w:sz="0" w:space="0" w:color="auto"/>
        <w:right w:val="none" w:sz="0" w:space="0" w:color="auto"/>
      </w:divBdr>
    </w:div>
    <w:div w:id="1593125206">
      <w:bodyDiv w:val="1"/>
      <w:marLeft w:val="0"/>
      <w:marRight w:val="0"/>
      <w:marTop w:val="0"/>
      <w:marBottom w:val="0"/>
      <w:divBdr>
        <w:top w:val="none" w:sz="0" w:space="0" w:color="auto"/>
        <w:left w:val="none" w:sz="0" w:space="0" w:color="auto"/>
        <w:bottom w:val="none" w:sz="0" w:space="0" w:color="auto"/>
        <w:right w:val="none" w:sz="0" w:space="0" w:color="auto"/>
      </w:divBdr>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18492">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33170">
      <w:bodyDiv w:val="1"/>
      <w:marLeft w:val="0"/>
      <w:marRight w:val="0"/>
      <w:marTop w:val="0"/>
      <w:marBottom w:val="0"/>
      <w:divBdr>
        <w:top w:val="none" w:sz="0" w:space="0" w:color="auto"/>
        <w:left w:val="none" w:sz="0" w:space="0" w:color="auto"/>
        <w:bottom w:val="none" w:sz="0" w:space="0" w:color="auto"/>
        <w:right w:val="none" w:sz="0" w:space="0" w:color="auto"/>
      </w:divBdr>
    </w:div>
    <w:div w:id="1752046312">
      <w:bodyDiv w:val="1"/>
      <w:marLeft w:val="0"/>
      <w:marRight w:val="0"/>
      <w:marTop w:val="0"/>
      <w:marBottom w:val="0"/>
      <w:divBdr>
        <w:top w:val="none" w:sz="0" w:space="0" w:color="auto"/>
        <w:left w:val="none" w:sz="0" w:space="0" w:color="auto"/>
        <w:bottom w:val="none" w:sz="0" w:space="0" w:color="auto"/>
        <w:right w:val="none" w:sz="0" w:space="0" w:color="auto"/>
      </w:divBdr>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58037825">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49501295">
      <w:bodyDiv w:val="1"/>
      <w:marLeft w:val="0"/>
      <w:marRight w:val="0"/>
      <w:marTop w:val="0"/>
      <w:marBottom w:val="0"/>
      <w:divBdr>
        <w:top w:val="none" w:sz="0" w:space="0" w:color="auto"/>
        <w:left w:val="none" w:sz="0" w:space="0" w:color="auto"/>
        <w:bottom w:val="none" w:sz="0" w:space="0" w:color="auto"/>
        <w:right w:val="none" w:sz="0" w:space="0" w:color="auto"/>
      </w:divBdr>
    </w:div>
    <w:div w:id="1958952697">
      <w:bodyDiv w:val="1"/>
      <w:marLeft w:val="0"/>
      <w:marRight w:val="0"/>
      <w:marTop w:val="0"/>
      <w:marBottom w:val="0"/>
      <w:divBdr>
        <w:top w:val="none" w:sz="0" w:space="0" w:color="auto"/>
        <w:left w:val="none" w:sz="0" w:space="0" w:color="auto"/>
        <w:bottom w:val="none" w:sz="0" w:space="0" w:color="auto"/>
        <w:right w:val="none" w:sz="0" w:space="0" w:color="auto"/>
      </w:divBdr>
    </w:div>
    <w:div w:id="1963805284">
      <w:bodyDiv w:val="1"/>
      <w:marLeft w:val="0"/>
      <w:marRight w:val="0"/>
      <w:marTop w:val="0"/>
      <w:marBottom w:val="0"/>
      <w:divBdr>
        <w:top w:val="none" w:sz="0" w:space="0" w:color="auto"/>
        <w:left w:val="none" w:sz="0" w:space="0" w:color="auto"/>
        <w:bottom w:val="none" w:sz="0" w:space="0" w:color="auto"/>
        <w:right w:val="none" w:sz="0" w:space="0" w:color="auto"/>
      </w:divBdr>
    </w:div>
    <w:div w:id="1986428814">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08752677">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86874358">
      <w:bodyDiv w:val="1"/>
      <w:marLeft w:val="0"/>
      <w:marRight w:val="0"/>
      <w:marTop w:val="0"/>
      <w:marBottom w:val="0"/>
      <w:divBdr>
        <w:top w:val="none" w:sz="0" w:space="0" w:color="auto"/>
        <w:left w:val="none" w:sz="0" w:space="0" w:color="auto"/>
        <w:bottom w:val="none" w:sz="0" w:space="0" w:color="auto"/>
        <w:right w:val="none" w:sz="0" w:space="0" w:color="auto"/>
      </w:divBdr>
    </w:div>
    <w:div w:id="2087724761">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pbs.gov.au/info/industry/listing/participants/public-release-docs/pulm-art-hypertension/pulmonary-arterial-hypertension-pah-medicines-uti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53C1-0AB6-4FB4-A3E4-EFE87881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23952</Words>
  <Characters>136529</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2018-05-16T06:21:00Z</dcterms:created>
  <dcterms:modified xsi:type="dcterms:W3CDTF">2018-05-29T01:42:00Z</dcterms:modified>
</cp:coreProperties>
</file>